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rPr>
          <w:spacing w:val="-19"/>
        </w:rPr>
        <w:t xml:space="preserve">荆州中学 </w:t>
      </w:r>
      <w:r>
        <w:t>2020</w:t>
      </w:r>
      <w:r>
        <w:rPr>
          <w:spacing w:val="-17"/>
        </w:rPr>
        <w:t xml:space="preserve"> 级元月考试</w:t>
      </w:r>
    </w:p>
    <w:p>
      <w:pPr>
        <w:pStyle w:val="3"/>
        <w:spacing w:before="11"/>
        <w:ind w:left="0"/>
        <w:rPr>
          <w:rFonts w:ascii="黑体"/>
          <w:b/>
          <w:sz w:val="12"/>
        </w:rPr>
      </w:pPr>
    </w:p>
    <w:p>
      <w:pPr>
        <w:spacing w:before="62"/>
        <w:ind w:left="2884" w:right="3020" w:firstLine="0"/>
        <w:jc w:val="center"/>
        <w:rPr>
          <w:rFonts w:ascii="黑体"/>
          <w:b/>
          <w:sz w:val="15"/>
        </w:rPr>
      </w:pPr>
      <w:r>
        <w:rPr>
          <w:rFonts w:hint="eastAsia" w:ascii="黑体" w:eastAsia="黑体"/>
          <w:b/>
          <w:w w:val="95"/>
          <w:sz w:val="28"/>
        </w:rPr>
        <w:t>高一年级政治试卷</w:t>
      </w:r>
      <w:bookmarkStart w:id="2" w:name="_GoBack"/>
      <w:bookmarkEnd w:id="2"/>
    </w:p>
    <w:p>
      <w:pPr>
        <w:spacing w:before="0"/>
        <w:ind w:left="0" w:right="28" w:firstLine="0"/>
        <w:jc w:val="center"/>
        <w:rPr>
          <w:b/>
          <w:sz w:val="22"/>
        </w:rPr>
      </w:pPr>
      <w:r>
        <w:rPr>
          <w:b/>
          <w:w w:val="99"/>
          <w:sz w:val="22"/>
        </w:rPr>
        <w:t xml:space="preserve"> </w:t>
      </w:r>
    </w:p>
    <w:p>
      <w:pPr>
        <w:pStyle w:val="3"/>
        <w:spacing w:before="99" w:line="249" w:lineRule="auto"/>
        <w:ind w:left="100" w:right="236" w:firstLine="480"/>
        <w:rPr>
          <w:rFonts w:hint="eastAsia" w:ascii="黑体" w:eastAsia="黑体"/>
        </w:rPr>
      </w:pPr>
      <w:r>
        <w:rPr>
          <w:rFonts w:hint="eastAsia" w:ascii="黑体" w:eastAsia="黑体"/>
        </w:rPr>
        <w:t>一、选择题（</w:t>
      </w:r>
      <w:r>
        <w:rPr>
          <w:rFonts w:hint="eastAsia" w:ascii="黑体" w:eastAsia="黑体"/>
          <w:spacing w:val="-16"/>
        </w:rPr>
        <w:t xml:space="preserve">本大题共 </w:t>
      </w:r>
      <w:r>
        <w:rPr>
          <w:rFonts w:hint="eastAsia" w:ascii="黑体" w:eastAsia="黑体"/>
        </w:rPr>
        <w:t>20</w:t>
      </w:r>
      <w:r>
        <w:rPr>
          <w:rFonts w:hint="eastAsia" w:ascii="黑体" w:eastAsia="黑体"/>
          <w:spacing w:val="-21"/>
        </w:rPr>
        <w:t xml:space="preserve"> 小题。每小题 </w:t>
      </w:r>
      <w:r>
        <w:rPr>
          <w:rFonts w:hint="eastAsia" w:ascii="黑体" w:eastAsia="黑体"/>
        </w:rPr>
        <w:t>3</w:t>
      </w:r>
      <w:r>
        <w:rPr>
          <w:rFonts w:hint="eastAsia" w:ascii="黑体" w:eastAsia="黑体"/>
          <w:spacing w:val="-32"/>
        </w:rPr>
        <w:t xml:space="preserve"> 分，共 </w:t>
      </w:r>
      <w:r>
        <w:rPr>
          <w:rFonts w:hint="eastAsia" w:ascii="黑体" w:eastAsia="黑体"/>
        </w:rPr>
        <w:t>60</w:t>
      </w:r>
      <w:r>
        <w:rPr>
          <w:rFonts w:hint="eastAsia" w:ascii="黑体" w:eastAsia="黑体"/>
          <w:spacing w:val="-9"/>
        </w:rPr>
        <w:t xml:space="preserve"> 分。在每小题给出的四个选项中，只</w:t>
      </w:r>
      <w:r>
        <w:rPr>
          <w:rFonts w:hint="eastAsia" w:ascii="黑体" w:eastAsia="黑体"/>
        </w:rPr>
        <w:t>有一项是符合题目要求的）</w:t>
      </w:r>
    </w:p>
    <w:p>
      <w:pPr>
        <w:pStyle w:val="9"/>
        <w:numPr>
          <w:ilvl w:val="0"/>
          <w:numId w:val="1"/>
        </w:numPr>
        <w:tabs>
          <w:tab w:val="left" w:pos="462"/>
        </w:tabs>
        <w:spacing w:before="73" w:after="0" w:line="240" w:lineRule="auto"/>
        <w:ind w:left="461" w:right="0" w:hanging="362"/>
        <w:jc w:val="left"/>
        <w:rPr>
          <w:sz w:val="22"/>
        </w:rPr>
      </w:pPr>
      <w:r>
        <w:rPr>
          <w:sz w:val="24"/>
        </w:rPr>
        <w:t xml:space="preserve">生产资料的所有制形式即劳动资料和劳动对象归谁所有，生产资料所有制(    ) </w:t>
      </w:r>
    </w:p>
    <w:p>
      <w:pPr>
        <w:pStyle w:val="3"/>
        <w:spacing w:before="93"/>
      </w:pPr>
      <w:r>
        <w:t xml:space="preserve">①是生产关系的核心          ②决定着社会的基本性质 </w:t>
      </w:r>
    </w:p>
    <w:p>
      <w:pPr>
        <w:pStyle w:val="3"/>
        <w:spacing w:before="92"/>
      </w:pPr>
      <w:r>
        <w:t xml:space="preserve">③是经济制度的基础          ④决定生产力发展 </w:t>
      </w:r>
    </w:p>
    <w:p>
      <w:pPr>
        <w:pStyle w:val="3"/>
        <w:tabs>
          <w:tab w:val="left" w:pos="2411"/>
          <w:tab w:val="left" w:pos="4720"/>
          <w:tab w:val="left" w:pos="7032"/>
        </w:tabs>
        <w:spacing w:before="93"/>
      </w:pPr>
      <w:r>
        <w:t>A．①④</w:t>
      </w:r>
      <w:r>
        <w:tab/>
      </w:r>
      <w:r>
        <w:t>B．②④</w:t>
      </w:r>
      <w:r>
        <w:tab/>
      </w:r>
      <w:r>
        <w:t>C．①③</w:t>
      </w:r>
      <w:r>
        <w:tab/>
      </w:r>
      <w:r>
        <w:t xml:space="preserve">D．②③  </w:t>
      </w:r>
    </w:p>
    <w:p>
      <w:pPr>
        <w:pStyle w:val="9"/>
        <w:numPr>
          <w:ilvl w:val="0"/>
          <w:numId w:val="1"/>
        </w:numPr>
        <w:tabs>
          <w:tab w:val="left" w:pos="462"/>
        </w:tabs>
        <w:spacing w:before="94" w:after="0" w:line="312" w:lineRule="auto"/>
        <w:ind w:left="580" w:right="239" w:hanging="481"/>
        <w:jc w:val="left"/>
        <w:rPr>
          <w:sz w:val="22"/>
        </w:rPr>
      </w:pPr>
      <w:r>
        <w:rPr>
          <w:sz w:val="24"/>
        </w:rPr>
        <w:t>有经济学家指出</w:t>
      </w:r>
      <w:r>
        <w:rPr>
          <w:spacing w:val="-20"/>
          <w:sz w:val="24"/>
        </w:rPr>
        <w:t>：“没有以公有制为主体，中国的国体必然动摇。”下列有关生产资料公有</w:t>
      </w:r>
      <w:r>
        <w:rPr>
          <w:spacing w:val="10"/>
          <w:sz w:val="24"/>
        </w:rPr>
        <w:t>制的认识正确的是( )</w:t>
      </w:r>
      <w:r>
        <w:rPr>
          <w:sz w:val="24"/>
        </w:rPr>
        <w:t xml:space="preserve"> </w:t>
      </w:r>
    </w:p>
    <w:p>
      <w:pPr>
        <w:pStyle w:val="3"/>
        <w:spacing w:line="307" w:lineRule="exact"/>
      </w:pPr>
      <w:r>
        <w:t xml:space="preserve">①它是社会主义的根本经济特征和社会主义经济制度的基础   </w:t>
      </w:r>
    </w:p>
    <w:p>
      <w:pPr>
        <w:pStyle w:val="3"/>
        <w:spacing w:before="93"/>
      </w:pPr>
      <w:r>
        <w:t xml:space="preserve">②其主体地位体现在国有资产在社会总资产中占优势   </w:t>
      </w:r>
    </w:p>
    <w:p>
      <w:pPr>
        <w:pStyle w:val="3"/>
        <w:spacing w:before="91"/>
      </w:pPr>
      <w:r>
        <w:t xml:space="preserve">③公有制经济控制国民经济命脉，对经济发展起主导作用   </w:t>
      </w:r>
    </w:p>
    <w:p>
      <w:pPr>
        <w:pStyle w:val="3"/>
        <w:spacing w:before="93" w:line="312" w:lineRule="auto"/>
        <w:ind w:right="237"/>
      </w:pPr>
      <w:r>
        <w:rPr>
          <w:spacing w:val="-9"/>
        </w:rPr>
        <w:t>④要增强公有制的主体地位，国有资本必须控制关系国家安全和国民经济命脉的重要行业</w:t>
      </w:r>
      <w:r>
        <w:t xml:space="preserve">和关键领域 </w:t>
      </w:r>
    </w:p>
    <w:p>
      <w:pPr>
        <w:pStyle w:val="3"/>
        <w:tabs>
          <w:tab w:val="left" w:pos="2411"/>
          <w:tab w:val="left" w:pos="4720"/>
          <w:tab w:val="left" w:pos="7032"/>
        </w:tabs>
      </w:pPr>
      <w:r>
        <w:t>A．①②</w:t>
      </w:r>
      <w:r>
        <w:tab/>
      </w:r>
      <w:r>
        <w:t>B．②③</w:t>
      </w:r>
      <w:r>
        <w:tab/>
      </w:r>
      <w:r>
        <w:t>C．③④</w:t>
      </w:r>
      <w:r>
        <w:tab/>
      </w:r>
      <w:r>
        <w:t xml:space="preserve">D．①④  </w:t>
      </w:r>
    </w:p>
    <w:p>
      <w:pPr>
        <w:pStyle w:val="9"/>
        <w:numPr>
          <w:ilvl w:val="0"/>
          <w:numId w:val="1"/>
        </w:numPr>
        <w:tabs>
          <w:tab w:val="left" w:pos="462"/>
        </w:tabs>
        <w:spacing w:before="93" w:after="0" w:line="312" w:lineRule="auto"/>
        <w:ind w:left="580" w:right="239" w:hanging="481"/>
        <w:jc w:val="both"/>
        <w:rPr>
          <w:sz w:val="22"/>
        </w:rPr>
      </w:pPr>
      <w:r>
        <w:rPr>
          <w:sz w:val="24"/>
        </w:rPr>
        <w:t>2020</w:t>
      </w:r>
      <w:r>
        <w:rPr>
          <w:spacing w:val="-45"/>
          <w:sz w:val="24"/>
        </w:rPr>
        <w:t xml:space="preserve"> 年 </w:t>
      </w:r>
      <w:r>
        <w:rPr>
          <w:sz w:val="24"/>
        </w:rPr>
        <w:t>4</w:t>
      </w:r>
      <w:r>
        <w:rPr>
          <w:spacing w:val="-44"/>
          <w:sz w:val="24"/>
        </w:rPr>
        <w:t xml:space="preserve"> 月 </w:t>
      </w:r>
      <w:r>
        <w:rPr>
          <w:sz w:val="24"/>
        </w:rPr>
        <w:t>22</w:t>
      </w:r>
      <w:r>
        <w:rPr>
          <w:spacing w:val="-9"/>
          <w:sz w:val="24"/>
        </w:rPr>
        <w:t xml:space="preserve"> 日，习近平总书记在陕西实地考察时指出，国有大型企业要发挥主力军作</w:t>
      </w:r>
      <w:r>
        <w:rPr>
          <w:spacing w:val="-3"/>
          <w:sz w:val="24"/>
        </w:rPr>
        <w:t>用，在抓好常态化疫情防控的前提下，积极推进重大项目、重点工程开工复产，带动上下</w:t>
      </w:r>
      <w:r>
        <w:rPr>
          <w:sz w:val="24"/>
        </w:rPr>
        <w:t xml:space="preserve">游产业和中小企业全面复工复产。这是基于（ ） </w:t>
      </w:r>
    </w:p>
    <w:p>
      <w:pPr>
        <w:pStyle w:val="3"/>
        <w:spacing w:before="1"/>
      </w:pPr>
      <w:r>
        <w:t xml:space="preserve">①国有经济是社会主义经济制度的基础 ②国有企业是党执政兴国的重要支柱和依靠力量 </w:t>
      </w:r>
    </w:p>
    <w:p>
      <w:pPr>
        <w:pStyle w:val="3"/>
        <w:tabs>
          <w:tab w:val="left" w:pos="2411"/>
          <w:tab w:val="left" w:pos="4720"/>
          <w:tab w:val="left" w:pos="7032"/>
        </w:tabs>
        <w:spacing w:before="94" w:line="312" w:lineRule="auto"/>
        <w:ind w:right="142"/>
      </w:pPr>
      <w:r>
        <w:t>③国有经济在国民经济中居于主体地位 ④国有经济掌握着国家的经济命脉，起主导作用A.</w:t>
      </w:r>
      <w:r>
        <w:rPr>
          <w:spacing w:val="-1"/>
        </w:rPr>
        <w:t xml:space="preserve"> </w:t>
      </w:r>
      <w:r>
        <w:t>①②</w:t>
      </w:r>
      <w:r>
        <w:tab/>
      </w:r>
      <w:r>
        <w:t>B. ①③</w:t>
      </w:r>
      <w:r>
        <w:tab/>
      </w:r>
      <w:r>
        <w:t>C. ②④</w:t>
      </w:r>
      <w:r>
        <w:tab/>
      </w:r>
      <w:r>
        <w:t xml:space="preserve">D. ③④  </w:t>
      </w:r>
    </w:p>
    <w:p>
      <w:pPr>
        <w:pStyle w:val="9"/>
        <w:numPr>
          <w:ilvl w:val="0"/>
          <w:numId w:val="1"/>
        </w:numPr>
        <w:tabs>
          <w:tab w:val="left" w:pos="462"/>
        </w:tabs>
        <w:spacing w:before="0" w:after="0" w:line="312" w:lineRule="auto"/>
        <w:ind w:left="580" w:right="236" w:hanging="481"/>
        <w:jc w:val="both"/>
        <w:rPr>
          <w:sz w:val="22"/>
        </w:rPr>
      </w:pPr>
      <w:r>
        <w:rPr>
          <w:sz w:val="24"/>
        </w:rPr>
        <w:t>2020</w:t>
      </w:r>
      <w:r>
        <w:rPr>
          <w:spacing w:val="-39"/>
          <w:sz w:val="24"/>
        </w:rPr>
        <w:t xml:space="preserve"> 年 </w:t>
      </w:r>
      <w:r>
        <w:rPr>
          <w:sz w:val="24"/>
        </w:rPr>
        <w:t>5</w:t>
      </w:r>
      <w:r>
        <w:rPr>
          <w:spacing w:val="-39"/>
          <w:sz w:val="24"/>
        </w:rPr>
        <w:t xml:space="preserve"> 月 </w:t>
      </w:r>
      <w:r>
        <w:rPr>
          <w:sz w:val="24"/>
        </w:rPr>
        <w:t>27</w:t>
      </w:r>
      <w:r>
        <w:rPr>
          <w:spacing w:val="-12"/>
          <w:sz w:val="24"/>
        </w:rPr>
        <w:t xml:space="preserve"> 日，中央文明办明确要求，在 </w:t>
      </w:r>
      <w:r>
        <w:rPr>
          <w:sz w:val="24"/>
        </w:rPr>
        <w:t>2020</w:t>
      </w:r>
      <w:r>
        <w:rPr>
          <w:spacing w:val="-8"/>
          <w:sz w:val="24"/>
        </w:rPr>
        <w:t xml:space="preserve"> 年全国文明城市测评指标中不将马路</w:t>
      </w:r>
      <w:r>
        <w:rPr>
          <w:sz w:val="24"/>
        </w:rPr>
        <w:t>市场、流动商贩列为文明城市测评考核内容。6</w:t>
      </w:r>
      <w:r>
        <w:rPr>
          <w:spacing w:val="-51"/>
          <w:sz w:val="24"/>
        </w:rPr>
        <w:t xml:space="preserve"> 月 </w:t>
      </w:r>
      <w:r>
        <w:rPr>
          <w:sz w:val="24"/>
        </w:rPr>
        <w:t>1</w:t>
      </w:r>
      <w:r>
        <w:rPr>
          <w:spacing w:val="-9"/>
          <w:sz w:val="24"/>
        </w:rPr>
        <w:t xml:space="preserve"> 日上午，国务院总理李克强在山东烟</w:t>
      </w:r>
      <w:r>
        <w:rPr>
          <w:spacing w:val="-19"/>
          <w:sz w:val="24"/>
        </w:rPr>
        <w:t>台考察时表示，地摊经济、小店经济是就业岗位的重要来源，是人间的烟火，和“高大上”</w:t>
      </w:r>
      <w:r>
        <w:rPr>
          <w:sz w:val="24"/>
        </w:rPr>
        <w:t xml:space="preserve"> 一样，是中国的生机。其优势在于（ ） </w:t>
      </w:r>
    </w:p>
    <w:p>
      <w:pPr>
        <w:pStyle w:val="3"/>
        <w:spacing w:before="2"/>
      </w:pPr>
      <w:r>
        <w:t xml:space="preserve">①缓解市场竞争压力，增加城市交通压力  ②有利于增强我国公有制的主体地位 </w:t>
      </w:r>
    </w:p>
    <w:p>
      <w:pPr>
        <w:pStyle w:val="3"/>
        <w:tabs>
          <w:tab w:val="left" w:pos="2411"/>
          <w:tab w:val="left" w:pos="4720"/>
          <w:tab w:val="left" w:pos="7032"/>
        </w:tabs>
        <w:spacing w:before="91" w:line="312" w:lineRule="auto"/>
        <w:ind w:right="742"/>
      </w:pPr>
      <w:r>
        <w:t>③满足消费者多样化需求，方便人民生活 ④吸引消费者聚集，带动周边商铺人流A．①②</w:t>
      </w:r>
      <w:r>
        <w:tab/>
      </w:r>
      <w:r>
        <w:t>B．①④</w:t>
      </w:r>
      <w:r>
        <w:tab/>
      </w:r>
      <w:r>
        <w:t>C．②③</w:t>
      </w:r>
      <w:r>
        <w:tab/>
      </w:r>
      <w:r>
        <w:t xml:space="preserve">D．③④  </w:t>
      </w:r>
    </w:p>
    <w:p>
      <w:pPr>
        <w:pStyle w:val="3"/>
        <w:spacing w:before="2"/>
        <w:ind w:left="100"/>
      </w:pPr>
      <w:r>
        <w:t xml:space="preserve"> </w:t>
      </w:r>
    </w:p>
    <w:p>
      <w:pPr>
        <w:spacing w:after="0"/>
        <w:sectPr>
          <w:type w:val="continuous"/>
          <w:pgSz w:w="11910" w:h="16840"/>
          <w:pgMar w:top="1480" w:right="840" w:bottom="1880" w:left="980" w:header="720" w:footer="1683" w:gutter="0"/>
          <w:pgNumType w:start="1"/>
        </w:sectPr>
      </w:pPr>
    </w:p>
    <w:p>
      <w:pPr>
        <w:pStyle w:val="9"/>
        <w:numPr>
          <w:ilvl w:val="0"/>
          <w:numId w:val="1"/>
        </w:numPr>
        <w:tabs>
          <w:tab w:val="left" w:pos="462"/>
        </w:tabs>
        <w:spacing w:before="43" w:after="0" w:line="312" w:lineRule="auto"/>
        <w:ind w:left="580" w:right="236" w:hanging="481"/>
        <w:jc w:val="both"/>
        <w:rPr>
          <w:sz w:val="22"/>
        </w:rPr>
      </w:pPr>
      <w:r>
        <w:rPr>
          <w:spacing w:val="-1"/>
          <w:sz w:val="24"/>
        </w:rPr>
        <w:t>据报道，如今民营资本进入的领域越来越多，中国的经济活力越来越强。中国的个体户总</w:t>
      </w:r>
      <w:r>
        <w:rPr>
          <w:spacing w:val="-10"/>
          <w:sz w:val="24"/>
        </w:rPr>
        <w:t xml:space="preserve">数已经达到了 </w:t>
      </w:r>
      <w:r>
        <w:rPr>
          <w:sz w:val="24"/>
        </w:rPr>
        <w:t>4750</w:t>
      </w:r>
      <w:r>
        <w:rPr>
          <w:spacing w:val="-31"/>
          <w:sz w:val="24"/>
        </w:rPr>
        <w:t xml:space="preserve"> 万户，全国 </w:t>
      </w:r>
      <w:r>
        <w:rPr>
          <w:sz w:val="24"/>
        </w:rPr>
        <w:t>60%</w:t>
      </w:r>
      <w:r>
        <w:rPr>
          <w:spacing w:val="-31"/>
          <w:sz w:val="24"/>
        </w:rPr>
        <w:t xml:space="preserve">的 </w:t>
      </w:r>
      <w:r>
        <w:rPr>
          <w:sz w:val="24"/>
        </w:rPr>
        <w:t>GDP</w:t>
      </w:r>
      <w:r>
        <w:rPr>
          <w:spacing w:val="-77"/>
          <w:sz w:val="24"/>
        </w:rPr>
        <w:t>、</w:t>
      </w:r>
      <w:r>
        <w:rPr>
          <w:sz w:val="24"/>
        </w:rPr>
        <w:t>70%</w:t>
      </w:r>
      <w:r>
        <w:rPr>
          <w:spacing w:val="-13"/>
          <w:sz w:val="24"/>
        </w:rPr>
        <w:t xml:space="preserve">的税收和 </w:t>
      </w:r>
      <w:r>
        <w:rPr>
          <w:sz w:val="24"/>
        </w:rPr>
        <w:t>80%的就业岗位都来自民营企业。</w:t>
      </w:r>
      <w:r>
        <w:rPr>
          <w:spacing w:val="19"/>
          <w:sz w:val="24"/>
        </w:rPr>
        <w:t>这表明( )</w:t>
      </w:r>
      <w:r>
        <w:rPr>
          <w:sz w:val="24"/>
        </w:rPr>
        <w:t xml:space="preserve"> </w:t>
      </w:r>
    </w:p>
    <w:p>
      <w:pPr>
        <w:pStyle w:val="3"/>
        <w:spacing w:before="1"/>
      </w:pPr>
      <w:r>
        <w:t xml:space="preserve">①非公有制经济是社会主义经济的重要组成部分 </w:t>
      </w:r>
    </w:p>
    <w:p>
      <w:pPr>
        <w:pStyle w:val="3"/>
        <w:spacing w:before="91"/>
      </w:pPr>
      <w:r>
        <w:t xml:space="preserve">②非公有制经济是我国经济社会发展的重要基础 </w:t>
      </w:r>
    </w:p>
    <w:p>
      <w:pPr>
        <w:pStyle w:val="3"/>
        <w:spacing w:before="93"/>
      </w:pPr>
      <w:r>
        <w:t xml:space="preserve">③非公有制经济的发展有利于支撑经济增长、扩大就业 </w:t>
      </w:r>
    </w:p>
    <w:p>
      <w:pPr>
        <w:pStyle w:val="3"/>
        <w:spacing w:before="94"/>
      </w:pPr>
      <w:r>
        <w:t xml:space="preserve">④个体、私营经济发展有利于增强市场活力、促进创新 </w:t>
      </w:r>
    </w:p>
    <w:p>
      <w:pPr>
        <w:pStyle w:val="3"/>
        <w:tabs>
          <w:tab w:val="left" w:pos="2411"/>
          <w:tab w:val="left" w:pos="4720"/>
          <w:tab w:val="left" w:pos="7032"/>
        </w:tabs>
        <w:spacing w:before="90"/>
      </w:pPr>
      <w:r>
        <w:t>A．②③</w:t>
      </w:r>
      <w:r>
        <w:tab/>
      </w:r>
      <w:r>
        <w:t>B．②④</w:t>
      </w:r>
      <w:r>
        <w:tab/>
      </w:r>
      <w:r>
        <w:t>C．①②</w:t>
      </w:r>
      <w:r>
        <w:tab/>
      </w:r>
      <w:r>
        <w:t xml:space="preserve">D．①③ </w:t>
      </w:r>
    </w:p>
    <w:p>
      <w:pPr>
        <w:pStyle w:val="9"/>
        <w:numPr>
          <w:ilvl w:val="0"/>
          <w:numId w:val="1"/>
        </w:numPr>
        <w:tabs>
          <w:tab w:val="left" w:pos="462"/>
        </w:tabs>
        <w:spacing w:before="94" w:after="0" w:line="312" w:lineRule="auto"/>
        <w:ind w:left="580" w:right="241" w:hanging="481"/>
        <w:jc w:val="both"/>
        <w:rPr>
          <w:sz w:val="22"/>
        </w:rPr>
      </w:pPr>
      <w:r>
        <w:rPr>
          <w:spacing w:val="-1"/>
          <w:sz w:val="24"/>
        </w:rPr>
        <w:t>2020</w:t>
      </w:r>
      <w:r>
        <w:rPr>
          <w:spacing w:val="-12"/>
          <w:sz w:val="24"/>
        </w:rPr>
        <w:t xml:space="preserve"> 年的“中央一号文件”指出，完善农村基本经营制度，开展第二轮土地承包到期后再</w:t>
      </w:r>
      <w:r>
        <w:rPr>
          <w:spacing w:val="-21"/>
          <w:sz w:val="24"/>
        </w:rPr>
        <w:t xml:space="preserve">延长 </w:t>
      </w:r>
      <w:r>
        <w:rPr>
          <w:sz w:val="24"/>
        </w:rPr>
        <w:t>30</w:t>
      </w:r>
      <w:r>
        <w:rPr>
          <w:spacing w:val="-18"/>
          <w:sz w:val="24"/>
        </w:rPr>
        <w:t xml:space="preserve"> 年试点，促使承包权和经营权分离，形成所有权、承包权、经营权‘三权’分置、</w:t>
      </w:r>
      <w:r>
        <w:rPr>
          <w:sz w:val="24"/>
        </w:rPr>
        <w:t xml:space="preserve">经营权流转的格局，鼓励发展多种形式适度规模经营。完善农村基本经营制度（ ） </w:t>
      </w:r>
    </w:p>
    <w:p>
      <w:pPr>
        <w:pStyle w:val="3"/>
        <w:spacing w:before="1"/>
        <w:ind w:left="520"/>
      </w:pPr>
      <w:r>
        <w:t xml:space="preserve">①是变革农村集体土地所有权，促进农村经济社会发展的必然要求 </w:t>
      </w:r>
    </w:p>
    <w:p>
      <w:pPr>
        <w:pStyle w:val="3"/>
        <w:spacing w:before="93"/>
        <w:ind w:left="520"/>
      </w:pPr>
      <w:r>
        <w:t xml:space="preserve">②可以通过培育新型农业生产经营主体，增强农业农村发展新动能 </w:t>
      </w:r>
    </w:p>
    <w:p>
      <w:pPr>
        <w:pStyle w:val="3"/>
        <w:spacing w:before="91"/>
        <w:ind w:left="520"/>
      </w:pPr>
      <w:r>
        <w:t xml:space="preserve">③有利于转变农业经营方式，提高农业劳动生产率 </w:t>
      </w:r>
    </w:p>
    <w:p>
      <w:pPr>
        <w:pStyle w:val="3"/>
        <w:spacing w:before="94"/>
        <w:ind w:left="520"/>
      </w:pPr>
      <w:r>
        <w:t xml:space="preserve">④旨在提高农业科技水平，推进农业现代化 </w:t>
      </w:r>
    </w:p>
    <w:p>
      <w:pPr>
        <w:pStyle w:val="3"/>
        <w:tabs>
          <w:tab w:val="left" w:pos="2411"/>
          <w:tab w:val="left" w:pos="4720"/>
          <w:tab w:val="left" w:pos="7032"/>
        </w:tabs>
        <w:spacing w:before="93"/>
        <w:ind w:left="520"/>
      </w:pPr>
      <w:r>
        <w:t>A．①②</w:t>
      </w:r>
      <w:r>
        <w:tab/>
      </w:r>
      <w:r>
        <w:t>B．①④</w:t>
      </w:r>
      <w:r>
        <w:tab/>
      </w:r>
      <w:r>
        <w:t>C．②③</w:t>
      </w:r>
      <w:r>
        <w:tab/>
      </w:r>
      <w:r>
        <w:t xml:space="preserve">D．③④ </w:t>
      </w:r>
    </w:p>
    <w:p>
      <w:pPr>
        <w:pStyle w:val="9"/>
        <w:numPr>
          <w:ilvl w:val="0"/>
          <w:numId w:val="1"/>
        </w:numPr>
        <w:tabs>
          <w:tab w:val="left" w:pos="462"/>
        </w:tabs>
        <w:spacing w:before="91" w:after="0" w:line="312" w:lineRule="auto"/>
        <w:ind w:left="580" w:right="239" w:hanging="481"/>
        <w:jc w:val="both"/>
        <w:rPr>
          <w:sz w:val="22"/>
        </w:rPr>
      </w:pPr>
      <w:r>
        <w:rPr>
          <w:sz w:val="24"/>
        </w:rPr>
        <w:t>皖南山区茶叶资源丰富。某地茶农成立了茶叶专业合作社，以村民茶园承包经营权或资本</w:t>
      </w:r>
      <w:r>
        <w:rPr>
          <w:spacing w:val="-3"/>
          <w:sz w:val="24"/>
        </w:rPr>
        <w:t>入股的方式进行，逐步形成了种植、加工、销售一条龙的产业化经营模式，促进了当地茶</w:t>
      </w:r>
      <w:r>
        <w:rPr>
          <w:sz w:val="24"/>
        </w:rPr>
        <w:t xml:space="preserve">产业的发展，更带动了农民增收。这种运营方式有利于( ) </w:t>
      </w:r>
    </w:p>
    <w:p>
      <w:pPr>
        <w:pStyle w:val="3"/>
        <w:spacing w:before="1"/>
      </w:pPr>
      <w:r>
        <w:t xml:space="preserve">①促进集体经济的经营模式创新，充分利用土地资源   </w:t>
      </w:r>
    </w:p>
    <w:p>
      <w:pPr>
        <w:pStyle w:val="3"/>
        <w:spacing w:before="93"/>
      </w:pPr>
      <w:r>
        <w:t xml:space="preserve">②改变农村集体经济的性质，促进私营经济在农村进一步发展   </w:t>
      </w:r>
    </w:p>
    <w:p>
      <w:pPr>
        <w:pStyle w:val="3"/>
        <w:spacing w:before="94"/>
      </w:pPr>
      <w:r>
        <w:t xml:space="preserve">③确保农民的土地所有权，提高土地利用率   </w:t>
      </w:r>
    </w:p>
    <w:p>
      <w:pPr>
        <w:pStyle w:val="3"/>
        <w:spacing w:before="90"/>
      </w:pPr>
      <w:r>
        <w:t xml:space="preserve">④促进农村经济的发展，实现共同富裕 </w:t>
      </w:r>
    </w:p>
    <w:p>
      <w:pPr>
        <w:pStyle w:val="3"/>
        <w:tabs>
          <w:tab w:val="left" w:pos="2411"/>
          <w:tab w:val="left" w:pos="4720"/>
          <w:tab w:val="left" w:pos="7032"/>
        </w:tabs>
        <w:spacing w:before="94"/>
      </w:pPr>
      <w:r>
        <w:t>A．①③</w:t>
      </w:r>
      <w:r>
        <w:tab/>
      </w:r>
      <w:r>
        <w:t>B．①④</w:t>
      </w:r>
      <w:r>
        <w:tab/>
      </w:r>
      <w:r>
        <w:t>C．②③</w:t>
      </w:r>
      <w:r>
        <w:tab/>
      </w:r>
      <w:r>
        <w:t xml:space="preserve">D．②④ </w:t>
      </w:r>
    </w:p>
    <w:p>
      <w:pPr>
        <w:pStyle w:val="9"/>
        <w:numPr>
          <w:ilvl w:val="0"/>
          <w:numId w:val="1"/>
        </w:numPr>
        <w:tabs>
          <w:tab w:val="left" w:pos="462"/>
        </w:tabs>
        <w:spacing w:before="93" w:after="0" w:line="312" w:lineRule="auto"/>
        <w:ind w:left="580" w:right="122" w:hanging="481"/>
        <w:jc w:val="left"/>
        <w:rPr>
          <w:sz w:val="22"/>
        </w:rPr>
      </w:pPr>
      <w:r>
        <w:rPr>
          <w:sz w:val="24"/>
        </w:rPr>
        <w:t>近年来，我国供给侧结构性改革取得阶段性显著成效。在发展壮大非公有制经济方面，瞄</w:t>
      </w:r>
      <w:r>
        <w:rPr>
          <w:spacing w:val="-4"/>
          <w:sz w:val="24"/>
        </w:rPr>
        <w:t>准痛点和堵点，彻底解决市场壁垒“虚低实高”问题，打破各种各样的“卷帘门”“玻璃</w:t>
      </w:r>
      <w:r>
        <w:rPr>
          <w:spacing w:val="-16"/>
          <w:sz w:val="24"/>
        </w:rPr>
        <w:t>门”“旋转门”，营造公平竞争的市场环境。当前，要进一步激发非公有制经济主体活力，</w:t>
      </w:r>
      <w:r>
        <w:rPr>
          <w:sz w:val="24"/>
        </w:rPr>
        <w:t>需要（</w:t>
      </w:r>
      <w:r>
        <w:rPr>
          <w:spacing w:val="119"/>
          <w:sz w:val="24"/>
        </w:rPr>
        <w:t xml:space="preserve"> </w:t>
      </w:r>
      <w:r>
        <w:rPr>
          <w:sz w:val="24"/>
        </w:rPr>
        <w:t xml:space="preserve">） </w:t>
      </w:r>
    </w:p>
    <w:p>
      <w:pPr>
        <w:pStyle w:val="3"/>
      </w:pPr>
      <w:r>
        <w:t xml:space="preserve">①推进放管服改革，调动民营企业控股国有企业的积极性 </w:t>
      </w:r>
    </w:p>
    <w:p>
      <w:pPr>
        <w:pStyle w:val="3"/>
        <w:spacing w:before="93"/>
      </w:pPr>
      <w:r>
        <w:t xml:space="preserve">②优化营商环境，推进产业政策向普惠性、功能性转变 </w:t>
      </w:r>
    </w:p>
    <w:p>
      <w:pPr>
        <w:pStyle w:val="3"/>
        <w:spacing w:before="94"/>
      </w:pPr>
      <w:r>
        <w:t xml:space="preserve">③废除各种限制，营造支持非公有制经济高质量发展的制度环境 </w:t>
      </w:r>
    </w:p>
    <w:p>
      <w:pPr>
        <w:pStyle w:val="3"/>
        <w:spacing w:before="91"/>
      </w:pPr>
      <w:r>
        <w:t xml:space="preserve">④营造各种所有制主体依法平等使用资源要素的市场环境 </w:t>
      </w:r>
    </w:p>
    <w:p>
      <w:pPr>
        <w:pStyle w:val="3"/>
        <w:tabs>
          <w:tab w:val="left" w:pos="2411"/>
          <w:tab w:val="left" w:pos="4720"/>
          <w:tab w:val="left" w:pos="7032"/>
        </w:tabs>
        <w:spacing w:before="93"/>
      </w:pPr>
      <w:r>
        <w:t>A.</w:t>
      </w:r>
      <w:r>
        <w:rPr>
          <w:spacing w:val="-1"/>
        </w:rPr>
        <w:t xml:space="preserve"> </w:t>
      </w:r>
      <w:r>
        <w:t>①②</w:t>
      </w:r>
      <w:r>
        <w:tab/>
      </w:r>
      <w:r>
        <w:t>B. ①③</w:t>
      </w:r>
      <w:r>
        <w:tab/>
      </w:r>
      <w:r>
        <w:t>C. ②④</w:t>
      </w:r>
      <w:r>
        <w:tab/>
      </w:r>
      <w:r>
        <w:t xml:space="preserve">D. ③④ </w:t>
      </w:r>
    </w:p>
    <w:p>
      <w:pPr>
        <w:spacing w:after="0"/>
        <w:sectPr>
          <w:pgSz w:w="11910" w:h="16840"/>
          <w:pgMar w:top="1460" w:right="840" w:bottom="1880" w:left="980" w:header="0" w:footer="1683" w:gutter="0"/>
        </w:sectPr>
      </w:pPr>
    </w:p>
    <w:p>
      <w:pPr>
        <w:pStyle w:val="9"/>
        <w:numPr>
          <w:ilvl w:val="0"/>
          <w:numId w:val="1"/>
        </w:numPr>
        <w:tabs>
          <w:tab w:val="left" w:pos="462"/>
        </w:tabs>
        <w:spacing w:before="43" w:after="0" w:line="312" w:lineRule="auto"/>
        <w:ind w:left="580" w:right="116" w:hanging="481"/>
        <w:jc w:val="left"/>
        <w:rPr>
          <w:sz w:val="22"/>
        </w:rPr>
      </w:pPr>
      <w:r>
        <w:rPr>
          <w:sz w:val="24"/>
        </w:rPr>
        <w:t>党的十八大以来，以习近平同志为核心的党中央高度重视非公有制经济健康发展，强调坚</w:t>
      </w:r>
      <w:r>
        <w:rPr>
          <w:spacing w:val="-20"/>
          <w:sz w:val="24"/>
        </w:rPr>
        <w:t>持权利平等、机会平等、规则平等，激发非公有制经济活力和创造力。为此，我们要( )</w:t>
      </w:r>
      <w:r>
        <w:rPr>
          <w:sz w:val="24"/>
        </w:rPr>
        <w:t xml:space="preserve"> </w:t>
      </w:r>
    </w:p>
    <w:p>
      <w:pPr>
        <w:pStyle w:val="3"/>
        <w:spacing w:line="307" w:lineRule="exact"/>
      </w:pPr>
      <w:r>
        <w:t xml:space="preserve">①严惩侵犯民企权益的各类犯罪，降低企业经营的隐性成本   </w:t>
      </w:r>
    </w:p>
    <w:p>
      <w:pPr>
        <w:pStyle w:val="3"/>
        <w:spacing w:before="94"/>
      </w:pPr>
      <w:r>
        <w:t xml:space="preserve">②加大力度优先发展民营经济，切实保障民营企业合法权益   </w:t>
      </w:r>
    </w:p>
    <w:p>
      <w:pPr>
        <w:pStyle w:val="3"/>
        <w:spacing w:before="90"/>
      </w:pPr>
      <w:r>
        <w:t xml:space="preserve">③依法维护公平竞争的市场秩序，支持民营经济参与市场竞争   </w:t>
      </w:r>
    </w:p>
    <w:p>
      <w:pPr>
        <w:pStyle w:val="3"/>
        <w:spacing w:before="94"/>
      </w:pPr>
      <w:r>
        <w:t xml:space="preserve">④大力发展新兴战略性产业，推动科技进步，保障国家安全 </w:t>
      </w:r>
    </w:p>
    <w:p>
      <w:pPr>
        <w:pStyle w:val="3"/>
        <w:tabs>
          <w:tab w:val="left" w:pos="2411"/>
          <w:tab w:val="left" w:pos="4720"/>
          <w:tab w:val="left" w:pos="7032"/>
        </w:tabs>
        <w:spacing w:before="93"/>
      </w:pPr>
      <w:r>
        <w:t>A．①②</w:t>
      </w:r>
      <w:r>
        <w:tab/>
      </w:r>
      <w:r>
        <w:t>B．①③</w:t>
      </w:r>
      <w:r>
        <w:tab/>
      </w:r>
      <w:r>
        <w:t>C．②④</w:t>
      </w:r>
      <w:r>
        <w:tab/>
      </w:r>
      <w:r>
        <w:t xml:space="preserve">D．③④ </w:t>
      </w:r>
    </w:p>
    <w:p>
      <w:pPr>
        <w:pStyle w:val="9"/>
        <w:numPr>
          <w:ilvl w:val="0"/>
          <w:numId w:val="1"/>
        </w:numPr>
        <w:tabs>
          <w:tab w:val="left" w:pos="567"/>
        </w:tabs>
        <w:spacing w:before="91" w:after="0" w:line="312" w:lineRule="auto"/>
        <w:ind w:left="580" w:right="236" w:hanging="481"/>
        <w:jc w:val="both"/>
        <w:rPr>
          <w:sz w:val="24"/>
        </w:rPr>
      </w:pPr>
      <w:r>
        <w:rPr>
          <w:spacing w:val="-6"/>
          <w:sz w:val="24"/>
        </w:rPr>
        <w:t xml:space="preserve">由复星集团牵头的 </w:t>
      </w:r>
      <w:r>
        <w:rPr>
          <w:sz w:val="24"/>
        </w:rPr>
        <w:t>8</w:t>
      </w:r>
      <w:r>
        <w:rPr>
          <w:spacing w:val="-10"/>
          <w:sz w:val="24"/>
        </w:rPr>
        <w:t xml:space="preserve"> 家民营联合体正式与浙江省政府签署“杭绍台铁路 </w:t>
      </w:r>
      <w:r>
        <w:rPr>
          <w:sz w:val="24"/>
        </w:rPr>
        <w:t>PPP</w:t>
      </w:r>
      <w:r>
        <w:rPr>
          <w:spacing w:val="-28"/>
          <w:sz w:val="24"/>
        </w:rPr>
        <w:t xml:space="preserve"> 项目”，并占</w:t>
      </w:r>
      <w:r>
        <w:rPr>
          <w:spacing w:val="-38"/>
          <w:sz w:val="24"/>
        </w:rPr>
        <w:t xml:space="preserve">股 </w:t>
      </w:r>
      <w:r>
        <w:rPr>
          <w:sz w:val="24"/>
        </w:rPr>
        <w:t>51</w:t>
      </w:r>
      <w:r>
        <w:rPr>
          <w:spacing w:val="-3"/>
          <w:sz w:val="24"/>
        </w:rPr>
        <w:t xml:space="preserve">%。这是我国首个民营控股高铁项目，开启了国内民间资本控股铁路项目 </w:t>
      </w:r>
      <w:r>
        <w:rPr>
          <w:sz w:val="24"/>
        </w:rPr>
        <w:t>PPP</w:t>
      </w:r>
      <w:r>
        <w:rPr>
          <w:spacing w:val="-20"/>
          <w:sz w:val="24"/>
        </w:rPr>
        <w:t xml:space="preserve"> 模式的</w:t>
      </w:r>
      <w:r>
        <w:rPr>
          <w:sz w:val="24"/>
        </w:rPr>
        <w:t xml:space="preserve">探索之路，为铁路的发展注入了新动能。杭绍台铁路 PPP 项目落地( ) </w:t>
      </w:r>
    </w:p>
    <w:p>
      <w:pPr>
        <w:pStyle w:val="3"/>
        <w:spacing w:before="1"/>
      </w:pPr>
      <w:r>
        <w:t xml:space="preserve">①表明非公有制经济与公有制经济是平等竞争的市场主体   </w:t>
      </w:r>
    </w:p>
    <w:p>
      <w:pPr>
        <w:pStyle w:val="3"/>
        <w:spacing w:before="94"/>
      </w:pPr>
      <w:r>
        <w:t xml:space="preserve">②对铁路事业引入多元主体竞争，加快发展具有示范意义   </w:t>
      </w:r>
    </w:p>
    <w:p>
      <w:pPr>
        <w:pStyle w:val="3"/>
        <w:spacing w:before="93"/>
      </w:pPr>
      <w:r>
        <w:t xml:space="preserve">③突出民营资本绝对控股地位，使其成为国民经济的主体   </w:t>
      </w:r>
    </w:p>
    <w:p>
      <w:pPr>
        <w:pStyle w:val="3"/>
        <w:tabs>
          <w:tab w:val="left" w:pos="2411"/>
          <w:tab w:val="left" w:pos="4720"/>
          <w:tab w:val="left" w:pos="7032"/>
        </w:tabs>
        <w:spacing w:before="91" w:line="312" w:lineRule="auto"/>
        <w:ind w:right="2091"/>
      </w:pPr>
      <w:r>
        <w:t>④是增强国有资本控制力，提高国民经济中国有经济比重之举 A．①②</w:t>
      </w:r>
      <w:r>
        <w:tab/>
      </w:r>
      <w:r>
        <w:t>B．①④</w:t>
      </w:r>
      <w:r>
        <w:tab/>
      </w:r>
      <w:r>
        <w:t>C．②③</w:t>
      </w:r>
      <w:r>
        <w:tab/>
      </w:r>
      <w:r>
        <w:t xml:space="preserve">D．③④ </w:t>
      </w:r>
    </w:p>
    <w:p>
      <w:pPr>
        <w:pStyle w:val="9"/>
        <w:numPr>
          <w:ilvl w:val="0"/>
          <w:numId w:val="1"/>
        </w:numPr>
        <w:tabs>
          <w:tab w:val="left" w:pos="582"/>
        </w:tabs>
        <w:spacing w:before="2" w:after="0" w:line="240" w:lineRule="auto"/>
        <w:ind w:left="581" w:right="0" w:hanging="482"/>
        <w:jc w:val="both"/>
        <w:rPr>
          <w:sz w:val="22"/>
        </w:rPr>
      </w:pPr>
      <w:r>
        <w:rPr>
          <w:spacing w:val="-2"/>
          <w:sz w:val="24"/>
        </w:rPr>
        <w:t xml:space="preserve">华为公司是典型的敢于创新,做智慧全场景产业的王者,其 </w:t>
      </w:r>
      <w:r>
        <w:rPr>
          <w:sz w:val="24"/>
        </w:rPr>
        <w:t>5G</w:t>
      </w:r>
      <w:r>
        <w:rPr>
          <w:spacing w:val="-6"/>
          <w:sz w:val="24"/>
        </w:rPr>
        <w:t xml:space="preserve"> 技术已经世界领先</w:t>
      </w:r>
      <w:r>
        <w:rPr>
          <w:sz w:val="24"/>
        </w:rPr>
        <w:t>,2019</w:t>
      </w:r>
      <w:r>
        <w:rPr>
          <w:spacing w:val="-16"/>
          <w:sz w:val="24"/>
        </w:rPr>
        <w:t xml:space="preserve"> 年</w:t>
      </w:r>
    </w:p>
    <w:p>
      <w:pPr>
        <w:pStyle w:val="3"/>
        <w:spacing w:before="91" w:line="312" w:lineRule="auto"/>
        <w:ind w:right="236"/>
        <w:jc w:val="both"/>
      </w:pPr>
      <w:r>
        <w:t>9</w:t>
      </w:r>
      <w:r>
        <w:rPr>
          <w:spacing w:val="-46"/>
        </w:rPr>
        <w:t xml:space="preserve"> 月 </w:t>
      </w:r>
      <w:r>
        <w:t>26</w:t>
      </w:r>
      <w:r>
        <w:rPr>
          <w:spacing w:val="-18"/>
        </w:rPr>
        <w:t xml:space="preserve"> 日发布的华为 </w:t>
      </w:r>
      <w:r>
        <w:t>Mate30</w:t>
      </w:r>
      <w:r>
        <w:rPr>
          <w:spacing w:val="-15"/>
        </w:rPr>
        <w:t xml:space="preserve"> 系列为全球第二代 </w:t>
      </w:r>
      <w:r>
        <w:t>5G</w:t>
      </w:r>
      <w:r>
        <w:rPr>
          <w:spacing w:val="-9"/>
        </w:rPr>
        <w:t xml:space="preserve"> 手机。华为不断进行科技创新,并以客</w:t>
      </w:r>
      <w:r>
        <w:rPr>
          <w:spacing w:val="-6"/>
        </w:rPr>
        <w:t>户需求为驱动,提供客户化的产品和端到端的服务,形成了“华为势”</w:t>
      </w:r>
      <w:r>
        <w:rPr>
          <w:spacing w:val="-19"/>
        </w:rPr>
        <w:t>。“华为优势”说明企</w:t>
      </w:r>
      <w:r>
        <w:rPr>
          <w:spacing w:val="23"/>
        </w:rPr>
        <w:t>业应( )</w:t>
      </w:r>
      <w:r>
        <w:t xml:space="preserve"> </w:t>
      </w:r>
    </w:p>
    <w:p>
      <w:pPr>
        <w:pStyle w:val="3"/>
        <w:spacing w:before="1"/>
      </w:pPr>
      <w:r>
        <w:rPr>
          <w:spacing w:val="-1"/>
        </w:rPr>
        <w:t>①完善产业链,扩大企业生产规模      ②提高自主创新能力,形成技术优势</w:t>
      </w:r>
      <w:r>
        <w:t xml:space="preserve"> </w:t>
      </w:r>
    </w:p>
    <w:p>
      <w:pPr>
        <w:pStyle w:val="3"/>
        <w:tabs>
          <w:tab w:val="left" w:pos="2411"/>
          <w:tab w:val="left" w:pos="4720"/>
          <w:tab w:val="left" w:pos="7032"/>
        </w:tabs>
        <w:spacing w:before="93" w:line="312" w:lineRule="auto"/>
        <w:ind w:right="1222"/>
      </w:pPr>
      <w:r>
        <w:t>③完善管理体制机制,提高企业效率 ④制定正确的经营战略,优化产品供给A.①②</w:t>
      </w:r>
      <w:r>
        <w:tab/>
      </w:r>
      <w:r>
        <w:t>B.①③</w:t>
      </w:r>
      <w:r>
        <w:tab/>
      </w:r>
      <w:r>
        <w:t>C.②④</w:t>
      </w:r>
      <w:r>
        <w:tab/>
      </w:r>
      <w:r>
        <w:t xml:space="preserve">D.③④ </w:t>
      </w:r>
    </w:p>
    <w:p>
      <w:pPr>
        <w:pStyle w:val="9"/>
        <w:numPr>
          <w:ilvl w:val="0"/>
          <w:numId w:val="1"/>
        </w:numPr>
        <w:tabs>
          <w:tab w:val="left" w:pos="462"/>
        </w:tabs>
        <w:spacing w:before="0" w:after="0" w:line="312" w:lineRule="auto"/>
        <w:ind w:left="580" w:right="232" w:hanging="481"/>
        <w:jc w:val="left"/>
        <w:rPr>
          <w:sz w:val="22"/>
        </w:rPr>
      </w:pPr>
      <w:r>
        <w:rPr>
          <w:sz w:val="24"/>
        </w:rPr>
        <w:t xml:space="preserve">健全现代化经济体系必须减少政府对价格形成的干预，全面放开竞争性领域商品和服务 价格，将政府定价范围主要限定在重要公用事业。缩小政府定价范围意在( ) </w:t>
      </w:r>
    </w:p>
    <w:p>
      <w:pPr>
        <w:pStyle w:val="3"/>
        <w:spacing w:before="2"/>
      </w:pPr>
      <w:r>
        <w:t xml:space="preserve">①降低商品价格，更好地满足消费者需求     ②发挥市场机制作用，引导社会资本投资 </w:t>
      </w:r>
    </w:p>
    <w:p>
      <w:pPr>
        <w:pStyle w:val="3"/>
        <w:tabs>
          <w:tab w:val="left" w:pos="2411"/>
          <w:tab w:val="left" w:pos="4720"/>
          <w:tab w:val="left" w:pos="7032"/>
        </w:tabs>
        <w:spacing w:before="91" w:line="312" w:lineRule="auto"/>
        <w:ind w:right="142"/>
      </w:pPr>
      <w:r>
        <w:t>③尊重市场规律，进一步促进市场的竞争力 ④取消政府价格干预，充分激发市场活力A．①②</w:t>
      </w:r>
      <w:r>
        <w:tab/>
      </w:r>
      <w:r>
        <w:t>B．②③</w:t>
      </w:r>
      <w:r>
        <w:tab/>
      </w:r>
      <w:r>
        <w:t>C．①④</w:t>
      </w:r>
      <w:r>
        <w:tab/>
      </w:r>
      <w:r>
        <w:t xml:space="preserve">D．③④ </w:t>
      </w:r>
    </w:p>
    <w:p>
      <w:pPr>
        <w:pStyle w:val="9"/>
        <w:numPr>
          <w:ilvl w:val="0"/>
          <w:numId w:val="1"/>
        </w:numPr>
        <w:tabs>
          <w:tab w:val="left" w:pos="462"/>
        </w:tabs>
        <w:spacing w:before="3" w:after="0" w:line="312" w:lineRule="auto"/>
        <w:ind w:left="580" w:right="237" w:hanging="481"/>
        <w:jc w:val="both"/>
        <w:rPr>
          <w:sz w:val="22"/>
        </w:rPr>
      </w:pPr>
      <w:r>
        <w:rPr>
          <w:spacing w:val="-5"/>
          <w:sz w:val="24"/>
        </w:rPr>
        <w:t>一个重要的经济学命题“污染博弈”引发了人们的思考。“污染博弈”是指在企业不受管</w:t>
      </w:r>
      <w:r>
        <w:rPr>
          <w:spacing w:val="-3"/>
          <w:sz w:val="24"/>
        </w:rPr>
        <w:t>制的环境里，每一个追求利润最大化的企业都宁可污染环境，也不愿安装昂贵的污染处理</w:t>
      </w:r>
      <w:r>
        <w:rPr>
          <w:sz w:val="24"/>
        </w:rPr>
        <w:t xml:space="preserve">设备。企业不愿安装昂贵的污染处理设备表明( ) </w:t>
      </w:r>
    </w:p>
    <w:p>
      <w:pPr>
        <w:pStyle w:val="3"/>
      </w:pPr>
      <w:r>
        <w:t xml:space="preserve">①市场调节具有盲目性               </w:t>
      </w:r>
    </w:p>
    <w:p>
      <w:pPr>
        <w:pStyle w:val="3"/>
        <w:spacing w:before="91"/>
      </w:pPr>
      <w:r>
        <w:t xml:space="preserve">②市场调节具有自发性   </w:t>
      </w:r>
    </w:p>
    <w:p>
      <w:pPr>
        <w:pStyle w:val="3"/>
        <w:spacing w:before="94"/>
      </w:pPr>
      <w:r>
        <w:t xml:space="preserve">③计划和市场是资源配置的两种手段   </w:t>
      </w:r>
    </w:p>
    <w:p>
      <w:pPr>
        <w:spacing w:after="0"/>
        <w:sectPr>
          <w:pgSz w:w="11910" w:h="16840"/>
          <w:pgMar w:top="1460" w:right="840" w:bottom="1880" w:left="980" w:header="0" w:footer="1683" w:gutter="0"/>
        </w:sectPr>
      </w:pPr>
    </w:p>
    <w:p>
      <w:pPr>
        <w:pStyle w:val="3"/>
        <w:tabs>
          <w:tab w:val="left" w:pos="2411"/>
          <w:tab w:val="left" w:pos="4720"/>
          <w:tab w:val="left" w:pos="7032"/>
        </w:tabs>
        <w:spacing w:before="43" w:line="312" w:lineRule="auto"/>
        <w:ind w:right="2091"/>
      </w:pPr>
      <w:r>
        <w:t>④商品生产者和经营者在利益杠杆的作用下调整生产经营活动 A．①②</w:t>
      </w:r>
      <w:r>
        <w:tab/>
      </w:r>
      <w:r>
        <w:t>B．①③</w:t>
      </w:r>
      <w:r>
        <w:tab/>
      </w:r>
      <w:r>
        <w:t>C．②④</w:t>
      </w:r>
      <w:r>
        <w:tab/>
      </w:r>
      <w:r>
        <w:t xml:space="preserve">D．③④ </w:t>
      </w:r>
    </w:p>
    <w:p>
      <w:pPr>
        <w:pStyle w:val="9"/>
        <w:numPr>
          <w:ilvl w:val="0"/>
          <w:numId w:val="1"/>
        </w:numPr>
        <w:tabs>
          <w:tab w:val="left" w:pos="464"/>
          <w:tab w:val="left" w:pos="7063"/>
        </w:tabs>
        <w:spacing w:before="0" w:after="0" w:line="228" w:lineRule="exact"/>
        <w:ind w:left="463" w:right="0" w:hanging="364"/>
        <w:jc w:val="left"/>
        <w:rPr>
          <w:sz w:val="22"/>
        </w:rPr>
      </w:pPr>
      <w:r>
        <w:rPr>
          <w:sz w:val="24"/>
        </w:rPr>
        <w:t>下表为某市政府制定的自来水价格</w:t>
      </w:r>
      <w:r>
        <w:rPr>
          <w:rFonts w:ascii="Times New Roman" w:eastAsia="Times New Roman"/>
          <w:sz w:val="24"/>
        </w:rPr>
        <w:t>(</w:t>
      </w:r>
      <w:r>
        <w:rPr>
          <w:sz w:val="24"/>
        </w:rPr>
        <w:t>部分</w:t>
      </w:r>
      <w:r>
        <w:rPr>
          <w:rFonts w:ascii="Times New Roman" w:eastAsia="Times New Roman"/>
          <w:sz w:val="24"/>
        </w:rPr>
        <w:t>)</w:t>
      </w:r>
      <w:r>
        <w:rPr>
          <w:sz w:val="24"/>
        </w:rPr>
        <w:t>。该价格的制定</w:t>
      </w:r>
      <w:r>
        <w:rPr>
          <w:rFonts w:ascii="Times New Roman" w:eastAsia="Times New Roman"/>
          <w:sz w:val="24"/>
        </w:rPr>
        <w:t>(</w:t>
      </w:r>
      <w:r>
        <w:rPr>
          <w:rFonts w:ascii="Times New Roman" w:eastAsia="Times New Roman"/>
          <w:sz w:val="24"/>
        </w:rPr>
        <w:tab/>
      </w:r>
      <w:r>
        <w:rPr>
          <w:rFonts w:ascii="Times New Roman" w:eastAsia="Times New Roman"/>
          <w:sz w:val="24"/>
        </w:rPr>
        <w:t>)</w:t>
      </w:r>
    </w:p>
    <w:p>
      <w:pPr>
        <w:pStyle w:val="3"/>
        <w:ind w:left="0"/>
        <w:rPr>
          <w:rFonts w:ascii="Times New Roman"/>
          <w:sz w:val="20"/>
        </w:rPr>
      </w:pPr>
    </w:p>
    <w:p>
      <w:pPr>
        <w:pStyle w:val="3"/>
        <w:spacing w:before="1"/>
        <w:ind w:left="0"/>
        <w:rPr>
          <w:rFonts w:ascii="Times New Roman"/>
          <w:sz w:val="11"/>
        </w:rPr>
      </w:pPr>
    </w:p>
    <w:tbl>
      <w:tblPr>
        <w:tblStyle w:val="6"/>
        <w:tblW w:w="0" w:type="auto"/>
        <w:tblInd w:w="1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5"/>
        <w:gridCol w:w="843"/>
        <w:gridCol w:w="843"/>
        <w:gridCol w:w="1897"/>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5" w:type="dxa"/>
            <w:vMerge w:val="restart"/>
          </w:tcPr>
          <w:p>
            <w:pPr>
              <w:pStyle w:val="10"/>
              <w:spacing w:before="0"/>
              <w:ind w:left="0"/>
              <w:jc w:val="left"/>
              <w:rPr>
                <w:sz w:val="21"/>
              </w:rPr>
            </w:pPr>
          </w:p>
          <w:p>
            <w:pPr>
              <w:pStyle w:val="10"/>
              <w:spacing w:before="0"/>
              <w:ind w:left="460"/>
              <w:jc w:val="left"/>
              <w:rPr>
                <w:rFonts w:hint="eastAsia" w:ascii="宋体" w:eastAsia="宋体"/>
                <w:sz w:val="24"/>
              </w:rPr>
            </w:pPr>
            <w:r>
              <w:rPr>
                <w:rFonts w:hint="eastAsia" w:ascii="宋体" w:eastAsia="宋体"/>
                <w:sz w:val="24"/>
              </w:rPr>
              <w:t>用水类型</w:t>
            </w:r>
          </w:p>
        </w:tc>
        <w:tc>
          <w:tcPr>
            <w:tcW w:w="1686" w:type="dxa"/>
            <w:gridSpan w:val="2"/>
          </w:tcPr>
          <w:p>
            <w:pPr>
              <w:pStyle w:val="10"/>
              <w:ind w:left="119"/>
              <w:jc w:val="left"/>
              <w:rPr>
                <w:rFonts w:hint="eastAsia" w:ascii="宋体" w:eastAsia="宋体"/>
                <w:sz w:val="24"/>
              </w:rPr>
            </w:pPr>
            <w:r>
              <w:rPr>
                <w:rFonts w:hint="eastAsia" w:ascii="宋体" w:eastAsia="宋体"/>
                <w:sz w:val="24"/>
              </w:rPr>
              <w:t>居民生活用水</w:t>
            </w:r>
          </w:p>
        </w:tc>
        <w:tc>
          <w:tcPr>
            <w:tcW w:w="3794" w:type="dxa"/>
            <w:gridSpan w:val="2"/>
          </w:tcPr>
          <w:p>
            <w:pPr>
              <w:pStyle w:val="10"/>
              <w:ind w:left="1394" w:right="1389"/>
              <w:rPr>
                <w:rFonts w:hint="eastAsia" w:ascii="宋体" w:eastAsia="宋体"/>
                <w:sz w:val="24"/>
              </w:rPr>
            </w:pPr>
            <w:r>
              <w:rPr>
                <w:rFonts w:hint="eastAsia" w:ascii="宋体" w:eastAsia="宋体"/>
                <w:sz w:val="24"/>
              </w:rPr>
              <w:t>洗车用水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5" w:type="dxa"/>
            <w:vMerge w:val="continue"/>
            <w:tcBorders>
              <w:top w:val="nil"/>
            </w:tcBorders>
          </w:tcPr>
          <w:p>
            <w:pPr>
              <w:rPr>
                <w:sz w:val="2"/>
                <w:szCs w:val="2"/>
              </w:rPr>
            </w:pPr>
          </w:p>
        </w:tc>
        <w:tc>
          <w:tcPr>
            <w:tcW w:w="843" w:type="dxa"/>
          </w:tcPr>
          <w:p>
            <w:pPr>
              <w:pStyle w:val="10"/>
              <w:ind w:left="83" w:right="79"/>
              <w:rPr>
                <w:sz w:val="24"/>
              </w:rPr>
            </w:pPr>
            <w:r>
              <w:rPr>
                <w:rFonts w:ascii="宋体" w:hAnsi="宋体"/>
                <w:sz w:val="24"/>
              </w:rPr>
              <w:t>≤</w:t>
            </w:r>
            <w:r>
              <w:rPr>
                <w:sz w:val="24"/>
              </w:rPr>
              <w:t>5m</w:t>
            </w:r>
            <w:r>
              <w:rPr>
                <w:sz w:val="24"/>
                <w:vertAlign w:val="superscript"/>
              </w:rPr>
              <w:t>3</w:t>
            </w:r>
          </w:p>
        </w:tc>
        <w:tc>
          <w:tcPr>
            <w:tcW w:w="843" w:type="dxa"/>
          </w:tcPr>
          <w:p>
            <w:pPr>
              <w:pStyle w:val="10"/>
              <w:ind w:right="77"/>
              <w:rPr>
                <w:sz w:val="24"/>
              </w:rPr>
            </w:pPr>
            <w:r>
              <w:rPr>
                <w:rFonts w:hint="eastAsia" w:ascii="宋体" w:eastAsia="宋体"/>
                <w:sz w:val="24"/>
              </w:rPr>
              <w:t>＞</w:t>
            </w:r>
            <w:r>
              <w:rPr>
                <w:sz w:val="24"/>
              </w:rPr>
              <w:t>5m</w:t>
            </w:r>
            <w:r>
              <w:rPr>
                <w:sz w:val="24"/>
                <w:vertAlign w:val="superscript"/>
              </w:rPr>
              <w:t>3</w:t>
            </w:r>
          </w:p>
        </w:tc>
        <w:tc>
          <w:tcPr>
            <w:tcW w:w="1897" w:type="dxa"/>
          </w:tcPr>
          <w:p>
            <w:pPr>
              <w:pStyle w:val="10"/>
              <w:ind w:right="80"/>
              <w:rPr>
                <w:rFonts w:hint="eastAsia" w:ascii="宋体" w:eastAsia="宋体"/>
                <w:sz w:val="24"/>
              </w:rPr>
            </w:pPr>
            <w:r>
              <w:rPr>
                <w:rFonts w:hint="eastAsia" w:ascii="宋体" w:eastAsia="宋体"/>
                <w:sz w:val="24"/>
              </w:rPr>
              <w:t>有循环用水装置</w:t>
            </w:r>
          </w:p>
        </w:tc>
        <w:tc>
          <w:tcPr>
            <w:tcW w:w="1897" w:type="dxa"/>
          </w:tcPr>
          <w:p>
            <w:pPr>
              <w:pStyle w:val="10"/>
              <w:ind w:right="81"/>
              <w:rPr>
                <w:rFonts w:hint="eastAsia" w:ascii="宋体" w:eastAsia="宋体"/>
                <w:sz w:val="24"/>
              </w:rPr>
            </w:pPr>
            <w:r>
              <w:rPr>
                <w:rFonts w:hint="eastAsia" w:ascii="宋体" w:eastAsia="宋体"/>
                <w:sz w:val="24"/>
              </w:rPr>
              <w:t>无循环用水装置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85" w:type="dxa"/>
          </w:tcPr>
          <w:p>
            <w:pPr>
              <w:pStyle w:val="10"/>
              <w:ind w:left="107"/>
              <w:jc w:val="left"/>
              <w:rPr>
                <w:sz w:val="24"/>
              </w:rPr>
            </w:pPr>
            <w:r>
              <w:rPr>
                <w:rFonts w:hint="eastAsia" w:ascii="宋体" w:eastAsia="宋体"/>
                <w:spacing w:val="-1"/>
                <w:sz w:val="24"/>
              </w:rPr>
              <w:t>价格</w:t>
            </w:r>
            <w:r>
              <w:rPr>
                <w:sz w:val="24"/>
              </w:rPr>
              <w:t>(</w:t>
            </w:r>
            <w:r>
              <w:rPr>
                <w:rFonts w:hint="eastAsia" w:ascii="宋体" w:eastAsia="宋体"/>
                <w:sz w:val="24"/>
              </w:rPr>
              <w:t>元</w:t>
            </w:r>
            <w:r>
              <w:rPr>
                <w:sz w:val="24"/>
              </w:rPr>
              <w:t>/</w:t>
            </w:r>
            <w:r>
              <w:rPr>
                <w:rFonts w:hint="eastAsia" w:ascii="宋体" w:eastAsia="宋体"/>
                <w:sz w:val="24"/>
              </w:rPr>
              <w:t>立方米</w:t>
            </w:r>
            <w:r>
              <w:rPr>
                <w:sz w:val="24"/>
              </w:rPr>
              <w:t>)</w:t>
            </w:r>
          </w:p>
        </w:tc>
        <w:tc>
          <w:tcPr>
            <w:tcW w:w="843" w:type="dxa"/>
          </w:tcPr>
          <w:p>
            <w:pPr>
              <w:pStyle w:val="10"/>
              <w:spacing w:before="25"/>
              <w:ind w:left="82" w:right="79"/>
              <w:rPr>
                <w:sz w:val="24"/>
              </w:rPr>
            </w:pPr>
            <w:r>
              <w:rPr>
                <w:sz w:val="24"/>
              </w:rPr>
              <w:t>2.00</w:t>
            </w:r>
          </w:p>
        </w:tc>
        <w:tc>
          <w:tcPr>
            <w:tcW w:w="843" w:type="dxa"/>
          </w:tcPr>
          <w:p>
            <w:pPr>
              <w:pStyle w:val="10"/>
              <w:spacing w:before="25"/>
              <w:ind w:right="78"/>
              <w:rPr>
                <w:sz w:val="24"/>
              </w:rPr>
            </w:pPr>
            <w:r>
              <w:rPr>
                <w:sz w:val="24"/>
              </w:rPr>
              <w:t>3.00</w:t>
            </w:r>
          </w:p>
        </w:tc>
        <w:tc>
          <w:tcPr>
            <w:tcW w:w="1897" w:type="dxa"/>
          </w:tcPr>
          <w:p>
            <w:pPr>
              <w:pStyle w:val="10"/>
              <w:spacing w:before="25"/>
              <w:ind w:left="84" w:right="81"/>
              <w:rPr>
                <w:sz w:val="24"/>
              </w:rPr>
            </w:pPr>
            <w:r>
              <w:rPr>
                <w:sz w:val="24"/>
              </w:rPr>
              <w:t>3.00</w:t>
            </w:r>
          </w:p>
        </w:tc>
        <w:tc>
          <w:tcPr>
            <w:tcW w:w="1897" w:type="dxa"/>
          </w:tcPr>
          <w:p>
            <w:pPr>
              <w:pStyle w:val="10"/>
              <w:spacing w:before="25"/>
              <w:ind w:left="82" w:right="81"/>
              <w:rPr>
                <w:sz w:val="24"/>
              </w:rPr>
            </w:pPr>
            <w:r>
              <w:rPr>
                <w:sz w:val="24"/>
              </w:rPr>
              <w:t>5.00</w:t>
            </w:r>
          </w:p>
        </w:tc>
      </w:tr>
    </w:tbl>
    <w:p>
      <w:pPr>
        <w:pStyle w:val="3"/>
        <w:tabs>
          <w:tab w:val="left" w:pos="4180"/>
        </w:tabs>
        <w:spacing w:before="2"/>
      </w:pPr>
      <w:r>
        <w:t>①利用了价值规律的调节作用</w:t>
      </w:r>
      <w:r>
        <w:tab/>
      </w:r>
      <w:r>
        <w:t>②体现了政府宏观调控的行政手段</w:t>
      </w:r>
      <w:r>
        <w:rPr>
          <w:spacing w:val="1"/>
        </w:rPr>
        <w:t xml:space="preserve"> </w:t>
      </w:r>
      <w:r>
        <w:t xml:space="preserve"> </w:t>
      </w:r>
    </w:p>
    <w:p>
      <w:pPr>
        <w:pStyle w:val="3"/>
        <w:tabs>
          <w:tab w:val="left" w:pos="4180"/>
        </w:tabs>
        <w:spacing w:before="161"/>
      </w:pPr>
      <w:r>
        <w:t>③弥补了市场调节的滞后性</w:t>
      </w:r>
      <w:r>
        <w:tab/>
      </w:r>
      <w:r>
        <w:t>④是建设资源节约型社会的具体体现</w:t>
      </w:r>
    </w:p>
    <w:p>
      <w:pPr>
        <w:pStyle w:val="3"/>
        <w:spacing w:before="7"/>
        <w:ind w:left="0"/>
        <w:rPr>
          <w:sz w:val="18"/>
        </w:rPr>
      </w:pPr>
    </w:p>
    <w:p>
      <w:pPr>
        <w:pStyle w:val="3"/>
        <w:spacing w:line="285" w:lineRule="auto"/>
        <w:ind w:left="100" w:right="2091" w:firstLine="480"/>
      </w:pPr>
      <w:r>
        <w:drawing>
          <wp:anchor distT="0" distB="0" distL="0" distR="0" simplePos="0" relativeHeight="15729664" behindDoc="0" locked="0" layoutInCell="1" allowOverlap="1">
            <wp:simplePos x="0" y="0"/>
            <wp:positionH relativeFrom="page">
              <wp:posOffset>1197610</wp:posOffset>
            </wp:positionH>
            <wp:positionV relativeFrom="paragraph">
              <wp:posOffset>451485</wp:posOffset>
            </wp:positionV>
            <wp:extent cx="3031490" cy="15068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3031235" cy="1506768"/>
                    </a:xfrm>
                    <a:prstGeom prst="rect">
                      <a:avLst/>
                    </a:prstGeom>
                  </pic:spPr>
                </pic:pic>
              </a:graphicData>
            </a:graphic>
          </wp:anchor>
        </w:drawing>
      </w:r>
      <w:r>
        <w:rPr>
          <w:spacing w:val="-1"/>
        </w:rPr>
        <w:t xml:space="preserve">A．①②        </w:t>
      </w:r>
      <w:r>
        <w:t>B．②③           C．①④              D．②④ 15.</w:t>
      </w:r>
      <w:r>
        <w:rPr>
          <w:spacing w:val="-18"/>
        </w:rPr>
        <w:t xml:space="preserve"> 漫画《践踏》</w:t>
      </w:r>
      <w:r>
        <w:t xml:space="preserve">（作者：赵国品）对我们的启示有（ ） </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spacing w:before="3"/>
        <w:ind w:left="0"/>
      </w:pPr>
    </w:p>
    <w:p>
      <w:pPr>
        <w:pStyle w:val="3"/>
      </w:pPr>
      <w:r>
        <w:t xml:space="preserve">①主动运用法律武器来维护自己的合法权益 </w:t>
      </w:r>
    </w:p>
    <w:p>
      <w:pPr>
        <w:pStyle w:val="3"/>
        <w:spacing w:before="91"/>
      </w:pPr>
      <w:r>
        <w:t xml:space="preserve">②建立以道德为支撑、法律为保障的社会信用制度 </w:t>
      </w:r>
    </w:p>
    <w:p>
      <w:pPr>
        <w:pStyle w:val="3"/>
        <w:spacing w:before="93"/>
      </w:pPr>
      <w:r>
        <w:t xml:space="preserve">③建立健全社会征信体系，坚持诚实守信的原则 </w:t>
      </w:r>
    </w:p>
    <w:p>
      <w:pPr>
        <w:pStyle w:val="3"/>
        <w:spacing w:before="93"/>
      </w:pPr>
      <w:r>
        <w:t xml:space="preserve">④充分发挥市场在资源配置中的决定性作用 </w:t>
      </w:r>
    </w:p>
    <w:p>
      <w:pPr>
        <w:pStyle w:val="3"/>
        <w:tabs>
          <w:tab w:val="left" w:pos="2411"/>
          <w:tab w:val="left" w:pos="4720"/>
          <w:tab w:val="left" w:pos="7032"/>
        </w:tabs>
        <w:spacing w:before="91"/>
      </w:pPr>
      <w:r>
        <w:t>A.</w:t>
      </w:r>
      <w:r>
        <w:rPr>
          <w:spacing w:val="-1"/>
        </w:rPr>
        <w:t xml:space="preserve"> </w:t>
      </w:r>
      <w:r>
        <w:t>①③</w:t>
      </w:r>
      <w:r>
        <w:tab/>
      </w:r>
      <w:r>
        <w:t>B. ②③</w:t>
      </w:r>
      <w:r>
        <w:tab/>
      </w:r>
      <w:r>
        <w:t>C. ③④</w:t>
      </w:r>
      <w:r>
        <w:tab/>
      </w:r>
      <w:r>
        <w:t xml:space="preserve">D. ①④ </w:t>
      </w:r>
    </w:p>
    <w:p>
      <w:pPr>
        <w:pStyle w:val="9"/>
        <w:numPr>
          <w:ilvl w:val="0"/>
          <w:numId w:val="2"/>
        </w:numPr>
        <w:tabs>
          <w:tab w:val="left" w:pos="462"/>
        </w:tabs>
        <w:spacing w:before="94" w:after="0" w:line="312" w:lineRule="auto"/>
        <w:ind w:left="580" w:right="233" w:hanging="481"/>
        <w:jc w:val="both"/>
        <w:rPr>
          <w:sz w:val="24"/>
        </w:rPr>
      </w:pPr>
      <w:r>
        <w:drawing>
          <wp:anchor distT="0" distB="0" distL="0" distR="0" simplePos="0" relativeHeight="15728640" behindDoc="0" locked="0" layoutInCell="1" allowOverlap="1">
            <wp:simplePos x="0" y="0"/>
            <wp:positionH relativeFrom="page">
              <wp:posOffset>1092835</wp:posOffset>
            </wp:positionH>
            <wp:positionV relativeFrom="paragraph">
              <wp:posOffset>1276350</wp:posOffset>
            </wp:positionV>
            <wp:extent cx="5137150" cy="1178560"/>
            <wp:effectExtent l="0" t="0" r="0" b="0"/>
            <wp:wrapNone/>
            <wp:docPr id="3" name="image2.jpeg"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figure"/>
                    <pic:cNvPicPr>
                      <a:picLocks noChangeAspect="1"/>
                    </pic:cNvPicPr>
                  </pic:nvPicPr>
                  <pic:blipFill>
                    <a:blip r:embed="rId5" cstate="print"/>
                    <a:stretch>
                      <a:fillRect/>
                    </a:stretch>
                  </pic:blipFill>
                  <pic:spPr>
                    <a:xfrm>
                      <a:off x="0" y="0"/>
                      <a:ext cx="5137017" cy="1178611"/>
                    </a:xfrm>
                    <a:prstGeom prst="rect">
                      <a:avLst/>
                    </a:prstGeom>
                  </pic:spPr>
                </pic:pic>
              </a:graphicData>
            </a:graphic>
          </wp:anchor>
        </w:drawing>
      </w:r>
      <w:r>
        <w:rPr>
          <w:sz w:val="24"/>
        </w:rPr>
        <w:t>4G</w:t>
      </w:r>
      <w:r>
        <w:rPr>
          <w:spacing w:val="-11"/>
          <w:sz w:val="24"/>
        </w:rPr>
        <w:t xml:space="preserve"> 改变生活，</w:t>
      </w:r>
      <w:r>
        <w:rPr>
          <w:sz w:val="24"/>
        </w:rPr>
        <w:t>5G</w:t>
      </w:r>
      <w:r>
        <w:rPr>
          <w:spacing w:val="-11"/>
          <w:sz w:val="24"/>
        </w:rPr>
        <w:t xml:space="preserve"> 改变社会。</w:t>
      </w:r>
      <w:r>
        <w:rPr>
          <w:sz w:val="24"/>
        </w:rPr>
        <w:t>2019</w:t>
      </w:r>
      <w:r>
        <w:rPr>
          <w:spacing w:val="-42"/>
          <w:sz w:val="24"/>
        </w:rPr>
        <w:t xml:space="preserve"> 年 </w:t>
      </w:r>
      <w:r>
        <w:rPr>
          <w:sz w:val="24"/>
        </w:rPr>
        <w:t>11</w:t>
      </w:r>
      <w:r>
        <w:rPr>
          <w:spacing w:val="-41"/>
          <w:sz w:val="24"/>
        </w:rPr>
        <w:t xml:space="preserve"> 月 </w:t>
      </w:r>
      <w:r>
        <w:rPr>
          <w:sz w:val="24"/>
        </w:rPr>
        <w:t>1</w:t>
      </w:r>
      <w:r>
        <w:rPr>
          <w:spacing w:val="-13"/>
          <w:sz w:val="24"/>
        </w:rPr>
        <w:t xml:space="preserve"> 日，三大运营商开启了 </w:t>
      </w:r>
      <w:r>
        <w:rPr>
          <w:sz w:val="24"/>
        </w:rPr>
        <w:t>5G</w:t>
      </w:r>
      <w:r>
        <w:rPr>
          <w:spacing w:val="-8"/>
          <w:sz w:val="24"/>
        </w:rPr>
        <w:t xml:space="preserve"> 套餐，标志着我国</w:t>
      </w:r>
      <w:r>
        <w:rPr>
          <w:spacing w:val="-5"/>
          <w:sz w:val="24"/>
        </w:rPr>
        <w:t xml:space="preserve">正式进入 </w:t>
      </w:r>
      <w:r>
        <w:rPr>
          <w:sz w:val="24"/>
        </w:rPr>
        <w:t>5G</w:t>
      </w:r>
      <w:r>
        <w:rPr>
          <w:spacing w:val="-7"/>
          <w:sz w:val="24"/>
        </w:rPr>
        <w:t xml:space="preserve"> 商用时代。随之而来的是以 </w:t>
      </w:r>
      <w:r>
        <w:rPr>
          <w:sz w:val="24"/>
        </w:rPr>
        <w:t>5G</w:t>
      </w:r>
      <w:r>
        <w:rPr>
          <w:spacing w:val="-5"/>
          <w:sz w:val="24"/>
        </w:rPr>
        <w:t xml:space="preserve"> 为代表的新一代信息技术正在加速引发系统</w:t>
      </w:r>
      <w:r>
        <w:rPr>
          <w:spacing w:val="-3"/>
          <w:sz w:val="24"/>
        </w:rPr>
        <w:t>性、革命性、群体性的技术突破和产业变革。若不考虑其他因素，下列说法与图像对应正</w:t>
      </w:r>
      <w:r>
        <w:rPr>
          <w:sz w:val="24"/>
        </w:rPr>
        <w:t>确的是(</w:t>
      </w:r>
      <w:r>
        <w:rPr>
          <w:color w:val="FF0000"/>
          <w:spacing w:val="119"/>
          <w:sz w:val="24"/>
        </w:rPr>
        <w:t xml:space="preserve"> </w:t>
      </w:r>
      <w:r>
        <w:rPr>
          <w:sz w:val="24"/>
        </w:rPr>
        <w:t xml:space="preserve">) </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spacing w:before="173"/>
        <w:ind w:left="0" w:right="1073"/>
        <w:jc w:val="right"/>
      </w:pPr>
      <w:r>
        <w:t xml:space="preserve"> </w:t>
      </w:r>
    </w:p>
    <w:p>
      <w:pPr>
        <w:spacing w:after="0"/>
        <w:jc w:val="right"/>
        <w:sectPr>
          <w:pgSz w:w="11910" w:h="16840"/>
          <w:pgMar w:top="1460" w:right="840" w:bottom="1880" w:left="980" w:header="0" w:footer="1683" w:gutter="0"/>
        </w:sectPr>
      </w:pPr>
    </w:p>
    <w:p>
      <w:pPr>
        <w:pStyle w:val="9"/>
        <w:numPr>
          <w:ilvl w:val="1"/>
          <w:numId w:val="2"/>
        </w:numPr>
        <w:tabs>
          <w:tab w:val="left" w:pos="942"/>
        </w:tabs>
        <w:spacing w:before="43" w:after="0" w:line="240" w:lineRule="auto"/>
        <w:ind w:left="941" w:right="0" w:hanging="362"/>
        <w:jc w:val="left"/>
        <w:rPr>
          <w:sz w:val="24"/>
        </w:rPr>
      </w:pPr>
      <w:r>
        <w:rPr>
          <w:spacing w:val="-11"/>
          <w:sz w:val="24"/>
        </w:rPr>
        <w:t xml:space="preserve">①表示随着 </w:t>
      </w:r>
      <w:r>
        <w:rPr>
          <w:sz w:val="24"/>
        </w:rPr>
        <w:t>5G</w:t>
      </w:r>
      <w:r>
        <w:rPr>
          <w:spacing w:val="-13"/>
          <w:sz w:val="24"/>
        </w:rPr>
        <w:t xml:space="preserve"> 手机的普及，消费者对 </w:t>
      </w:r>
      <w:r>
        <w:rPr>
          <w:sz w:val="24"/>
        </w:rPr>
        <w:t>4G</w:t>
      </w:r>
      <w:r>
        <w:rPr>
          <w:spacing w:val="-8"/>
          <w:sz w:val="24"/>
        </w:rPr>
        <w:t xml:space="preserve"> 手机的需求变化</w:t>
      </w:r>
      <w:r>
        <w:rPr>
          <w:sz w:val="24"/>
        </w:rPr>
        <w:t xml:space="preserve"> </w:t>
      </w:r>
    </w:p>
    <w:p>
      <w:pPr>
        <w:pStyle w:val="9"/>
        <w:numPr>
          <w:ilvl w:val="1"/>
          <w:numId w:val="2"/>
        </w:numPr>
        <w:tabs>
          <w:tab w:val="left" w:pos="942"/>
        </w:tabs>
        <w:spacing w:before="91" w:after="0" w:line="240" w:lineRule="auto"/>
        <w:ind w:left="941" w:right="0" w:hanging="362"/>
        <w:jc w:val="left"/>
        <w:rPr>
          <w:sz w:val="24"/>
        </w:rPr>
      </w:pPr>
      <w:r>
        <w:rPr>
          <w:spacing w:val="-11"/>
          <w:sz w:val="24"/>
        </w:rPr>
        <w:t xml:space="preserve">②表示随着 </w:t>
      </w:r>
      <w:r>
        <w:rPr>
          <w:sz w:val="24"/>
        </w:rPr>
        <w:t>5G</w:t>
      </w:r>
      <w:r>
        <w:rPr>
          <w:spacing w:val="-10"/>
          <w:sz w:val="24"/>
        </w:rPr>
        <w:t xml:space="preserve"> 商用的实现</w:t>
      </w:r>
      <w:r>
        <w:rPr>
          <w:sz w:val="24"/>
        </w:rPr>
        <w:t>，4G</w:t>
      </w:r>
      <w:r>
        <w:rPr>
          <w:spacing w:val="-8"/>
          <w:sz w:val="24"/>
        </w:rPr>
        <w:t xml:space="preserve"> 手机的生产变化情况</w:t>
      </w:r>
      <w:r>
        <w:rPr>
          <w:sz w:val="24"/>
        </w:rPr>
        <w:t xml:space="preserve"> </w:t>
      </w:r>
    </w:p>
    <w:p>
      <w:pPr>
        <w:pStyle w:val="9"/>
        <w:numPr>
          <w:ilvl w:val="1"/>
          <w:numId w:val="2"/>
        </w:numPr>
        <w:tabs>
          <w:tab w:val="left" w:pos="942"/>
        </w:tabs>
        <w:spacing w:before="94" w:after="0" w:line="240" w:lineRule="auto"/>
        <w:ind w:left="941" w:right="0" w:hanging="362"/>
        <w:jc w:val="left"/>
        <w:rPr>
          <w:sz w:val="24"/>
        </w:rPr>
      </w:pPr>
      <w:r>
        <w:rPr>
          <w:spacing w:val="-11"/>
          <w:sz w:val="24"/>
        </w:rPr>
        <w:t xml:space="preserve">③表示随着 </w:t>
      </w:r>
      <w:r>
        <w:rPr>
          <w:sz w:val="24"/>
        </w:rPr>
        <w:t>5G</w:t>
      </w:r>
      <w:r>
        <w:rPr>
          <w:spacing w:val="-10"/>
          <w:sz w:val="24"/>
        </w:rPr>
        <w:t xml:space="preserve"> 的应用发展</w:t>
      </w:r>
      <w:r>
        <w:rPr>
          <w:sz w:val="24"/>
        </w:rPr>
        <w:t>，4G</w:t>
      </w:r>
      <w:r>
        <w:rPr>
          <w:spacing w:val="-8"/>
          <w:sz w:val="24"/>
        </w:rPr>
        <w:t xml:space="preserve"> 手机均衡价格的变化情况</w:t>
      </w:r>
      <w:r>
        <w:rPr>
          <w:sz w:val="24"/>
        </w:rPr>
        <w:t xml:space="preserve"> </w:t>
      </w:r>
    </w:p>
    <w:p>
      <w:pPr>
        <w:pStyle w:val="9"/>
        <w:numPr>
          <w:ilvl w:val="1"/>
          <w:numId w:val="2"/>
        </w:numPr>
        <w:tabs>
          <w:tab w:val="left" w:pos="942"/>
        </w:tabs>
        <w:spacing w:before="93" w:after="0" w:line="240" w:lineRule="auto"/>
        <w:ind w:left="941" w:right="0" w:hanging="362"/>
        <w:jc w:val="left"/>
        <w:rPr>
          <w:sz w:val="24"/>
        </w:rPr>
      </w:pPr>
      <w:r>
        <w:rPr>
          <w:spacing w:val="-11"/>
          <w:sz w:val="24"/>
        </w:rPr>
        <w:t xml:space="preserve">④表示随着 </w:t>
      </w:r>
      <w:r>
        <w:rPr>
          <w:sz w:val="24"/>
        </w:rPr>
        <w:t>5G</w:t>
      </w:r>
      <w:r>
        <w:rPr>
          <w:spacing w:val="-10"/>
          <w:sz w:val="24"/>
        </w:rPr>
        <w:t xml:space="preserve"> 的商用加快</w:t>
      </w:r>
      <w:r>
        <w:rPr>
          <w:sz w:val="24"/>
        </w:rPr>
        <w:t>，4G</w:t>
      </w:r>
      <w:r>
        <w:rPr>
          <w:spacing w:val="-8"/>
          <w:sz w:val="24"/>
        </w:rPr>
        <w:t xml:space="preserve"> 手机的市场变化情况</w:t>
      </w:r>
      <w:r>
        <w:rPr>
          <w:sz w:val="24"/>
        </w:rPr>
        <w:t xml:space="preserve"> </w:t>
      </w:r>
    </w:p>
    <w:p>
      <w:pPr>
        <w:pStyle w:val="9"/>
        <w:numPr>
          <w:ilvl w:val="0"/>
          <w:numId w:val="2"/>
        </w:numPr>
        <w:tabs>
          <w:tab w:val="left" w:pos="461"/>
        </w:tabs>
        <w:spacing w:before="91" w:after="0" w:line="312" w:lineRule="auto"/>
        <w:ind w:left="580" w:right="263" w:hanging="481"/>
        <w:jc w:val="both"/>
        <w:rPr>
          <w:sz w:val="24"/>
        </w:rPr>
      </w:pPr>
      <w:r>
        <w:rPr>
          <w:sz w:val="24"/>
        </w:rPr>
        <w:t>2020</w:t>
      </w:r>
      <w:r>
        <w:rPr>
          <w:spacing w:val="-1"/>
          <w:sz w:val="24"/>
        </w:rPr>
        <w:t xml:space="preserve"> 年 </w:t>
      </w:r>
      <w:r>
        <w:rPr>
          <w:sz w:val="24"/>
        </w:rPr>
        <w:t>1 月 1</w:t>
      </w:r>
      <w:r>
        <w:rPr>
          <w:spacing w:val="-8"/>
          <w:sz w:val="24"/>
        </w:rPr>
        <w:t xml:space="preserve"> 日起正式施行的《密码法》明确规定，“密码分为核心密码普通密码和商</w:t>
      </w:r>
      <w:r>
        <w:rPr>
          <w:spacing w:val="-5"/>
          <w:sz w:val="24"/>
        </w:rPr>
        <w:t>用密码，实行密码分类管理，特定范围的商用密码实行进口许可和出口管制”。国家鼓励</w:t>
      </w:r>
      <w:r>
        <w:rPr>
          <w:sz w:val="24"/>
        </w:rPr>
        <w:t>商用密码技术的研究开发、学术交流、成果转化和推广应用，旨在（</w:t>
      </w:r>
      <w:r>
        <w:rPr>
          <w:color w:val="FF0000"/>
          <w:sz w:val="24"/>
        </w:rPr>
        <w:t xml:space="preserve"> </w:t>
      </w:r>
      <w:r>
        <w:rPr>
          <w:sz w:val="24"/>
        </w:rPr>
        <w:t xml:space="preserve">） </w:t>
      </w:r>
    </w:p>
    <w:p>
      <w:pPr>
        <w:pStyle w:val="3"/>
        <w:ind w:left="520"/>
      </w:pPr>
      <w:r>
        <w:t xml:space="preserve">①健全统一、开放、竞争、有序的商用密码市场体系 </w:t>
      </w:r>
    </w:p>
    <w:p>
      <w:pPr>
        <w:pStyle w:val="3"/>
        <w:spacing w:before="94"/>
        <w:ind w:left="520"/>
      </w:pPr>
      <w:r>
        <w:t xml:space="preserve">②提升公民加密技术能力，防止个人隐私信息泄露 </w:t>
      </w:r>
    </w:p>
    <w:p>
      <w:pPr>
        <w:pStyle w:val="3"/>
        <w:spacing w:before="94"/>
        <w:ind w:left="520"/>
      </w:pPr>
      <w:r>
        <w:t xml:space="preserve">③彰显最高法律权威，完善国家安全法律制度体系 </w:t>
      </w:r>
    </w:p>
    <w:p>
      <w:pPr>
        <w:pStyle w:val="3"/>
        <w:spacing w:before="91"/>
        <w:ind w:left="520"/>
      </w:pPr>
      <w:r>
        <w:t xml:space="preserve">④鼓励和促进商用密码产业发展 </w:t>
      </w:r>
    </w:p>
    <w:p>
      <w:pPr>
        <w:pStyle w:val="3"/>
        <w:tabs>
          <w:tab w:val="left" w:pos="2411"/>
          <w:tab w:val="left" w:pos="4720"/>
          <w:tab w:val="left" w:pos="7032"/>
        </w:tabs>
        <w:spacing w:before="93"/>
        <w:ind w:left="520"/>
      </w:pPr>
      <w:r>
        <w:t>A．①②</w:t>
      </w:r>
      <w:r>
        <w:tab/>
      </w:r>
      <w:r>
        <w:t>B．②③</w:t>
      </w:r>
      <w:r>
        <w:tab/>
      </w:r>
      <w:r>
        <w:t>C．③④</w:t>
      </w:r>
      <w:r>
        <w:tab/>
      </w:r>
      <w:r>
        <w:t xml:space="preserve">D．①④ </w:t>
      </w:r>
    </w:p>
    <w:p>
      <w:pPr>
        <w:pStyle w:val="9"/>
        <w:numPr>
          <w:ilvl w:val="0"/>
          <w:numId w:val="2"/>
        </w:numPr>
        <w:tabs>
          <w:tab w:val="left" w:pos="462"/>
        </w:tabs>
        <w:spacing w:before="93" w:after="0" w:line="312" w:lineRule="auto"/>
        <w:ind w:left="580" w:right="236" w:hanging="481"/>
        <w:jc w:val="both"/>
        <w:rPr>
          <w:sz w:val="24"/>
        </w:rPr>
      </w:pPr>
      <w:r>
        <w:rPr>
          <w:sz w:val="24"/>
        </w:rPr>
        <w:t>2020</w:t>
      </w:r>
      <w:r>
        <w:rPr>
          <w:spacing w:val="-26"/>
          <w:sz w:val="24"/>
        </w:rPr>
        <w:t xml:space="preserve"> 年 </w:t>
      </w:r>
      <w:r>
        <w:rPr>
          <w:sz w:val="24"/>
        </w:rPr>
        <w:t>1</w:t>
      </w:r>
      <w:r>
        <w:rPr>
          <w:spacing w:val="-26"/>
          <w:sz w:val="24"/>
        </w:rPr>
        <w:t xml:space="preserve"> 月 </w:t>
      </w:r>
      <w:r>
        <w:rPr>
          <w:sz w:val="24"/>
        </w:rPr>
        <w:t>6</w:t>
      </w:r>
      <w:r>
        <w:rPr>
          <w:spacing w:val="-8"/>
          <w:sz w:val="24"/>
        </w:rPr>
        <w:t xml:space="preserve"> 日，中国人民银行下调金融机构存款准备金率 </w:t>
      </w:r>
      <w:r>
        <w:rPr>
          <w:sz w:val="24"/>
        </w:rPr>
        <w:t>0.5</w:t>
      </w:r>
      <w:r>
        <w:rPr>
          <w:spacing w:val="-6"/>
          <w:sz w:val="24"/>
        </w:rPr>
        <w:t xml:space="preserve"> 个百分点(不含财务公</w:t>
      </w:r>
      <w:r>
        <w:rPr>
          <w:spacing w:val="-3"/>
          <w:sz w:val="24"/>
        </w:rPr>
        <w:t xml:space="preserve">司、金融租赁公司和汽车金融公司)。央行此次降准释放长期资金约 </w:t>
      </w:r>
      <w:r>
        <w:rPr>
          <w:sz w:val="24"/>
        </w:rPr>
        <w:t>8</w:t>
      </w:r>
      <w:r>
        <w:rPr>
          <w:spacing w:val="18"/>
          <w:sz w:val="24"/>
        </w:rPr>
        <w:t xml:space="preserve"> </w:t>
      </w:r>
      <w:r>
        <w:rPr>
          <w:sz w:val="24"/>
        </w:rPr>
        <w:t>000</w:t>
      </w:r>
      <w:r>
        <w:rPr>
          <w:spacing w:val="-11"/>
          <w:sz w:val="24"/>
        </w:rPr>
        <w:t xml:space="preserve"> 多亿元，直接</w:t>
      </w:r>
      <w:r>
        <w:rPr>
          <w:sz w:val="24"/>
        </w:rPr>
        <w:t xml:space="preserve">支持实体经济。此次降准发挥作用的路径是( ) </w:t>
      </w:r>
    </w:p>
    <w:p>
      <w:pPr>
        <w:pStyle w:val="3"/>
        <w:spacing w:before="1"/>
      </w:pPr>
      <w:r>
        <w:t xml:space="preserve">①社会融资规模增长  ②降低企业经营风险  ③释放货币流动性   </w:t>
      </w:r>
    </w:p>
    <w:p>
      <w:pPr>
        <w:pStyle w:val="3"/>
        <w:spacing w:before="91"/>
      </w:pPr>
      <w:r>
        <w:t xml:space="preserve">④激发市场主体活力  ⑤提高企业经济效益 </w:t>
      </w:r>
    </w:p>
    <w:p>
      <w:pPr>
        <w:pStyle w:val="3"/>
        <w:spacing w:before="93"/>
      </w:pPr>
      <w:r>
        <w:t xml:space="preserve">A．①→③→④  B．①→②→⑤        C．③→②→⑤   </w:t>
      </w:r>
      <w:r>
        <w:rPr>
          <w:spacing w:val="119"/>
        </w:rPr>
        <w:t xml:space="preserve"> </w:t>
      </w:r>
      <w:r>
        <w:t xml:space="preserve">D．③→①→④ </w:t>
      </w:r>
    </w:p>
    <w:p>
      <w:pPr>
        <w:pStyle w:val="9"/>
        <w:numPr>
          <w:ilvl w:val="0"/>
          <w:numId w:val="2"/>
        </w:numPr>
        <w:tabs>
          <w:tab w:val="left" w:pos="462"/>
        </w:tabs>
        <w:spacing w:before="94" w:after="0" w:line="312" w:lineRule="auto"/>
        <w:ind w:left="580" w:right="236" w:hanging="481"/>
        <w:jc w:val="both"/>
        <w:rPr>
          <w:sz w:val="24"/>
        </w:rPr>
      </w:pPr>
      <w:r>
        <w:rPr>
          <w:spacing w:val="-1"/>
          <w:sz w:val="24"/>
        </w:rPr>
        <w:t>受全球经济整体下行的影响，我国经济出现增长困难，主要表现为外部需求下降、出口贸</w:t>
      </w:r>
      <w:r>
        <w:rPr>
          <w:spacing w:val="-3"/>
          <w:sz w:val="24"/>
        </w:rPr>
        <w:t>易不畅，经济增速放缓、失业增加，通货紧缩预期正逐步形成等。在此背景下，我国政府</w:t>
      </w:r>
      <w:r>
        <w:rPr>
          <w:sz w:val="24"/>
        </w:rPr>
        <w:t>应采取的宏观经济政策是(</w:t>
      </w:r>
      <w:r>
        <w:rPr>
          <w:color w:val="FF0000"/>
          <w:sz w:val="24"/>
        </w:rPr>
        <w:t xml:space="preserve"> </w:t>
      </w:r>
      <w:r>
        <w:rPr>
          <w:sz w:val="24"/>
        </w:rPr>
        <w:t xml:space="preserve">) </w:t>
      </w:r>
    </w:p>
    <w:p>
      <w:pPr>
        <w:pStyle w:val="3"/>
        <w:spacing w:before="1"/>
      </w:pPr>
      <w:r>
        <w:t xml:space="preserve">①加快人民币升值速度，扩大出口规模  ②增加政府财政收入，减少财政支出   </w:t>
      </w:r>
    </w:p>
    <w:p>
      <w:pPr>
        <w:pStyle w:val="3"/>
        <w:tabs>
          <w:tab w:val="left" w:pos="7032"/>
        </w:tabs>
        <w:spacing w:before="90" w:line="312" w:lineRule="auto"/>
        <w:ind w:right="1702"/>
      </w:pPr>
      <w:r>
        <w:rPr>
          <w:spacing w:val="-1"/>
        </w:rPr>
        <w:t>③</w:t>
      </w:r>
      <w:r>
        <w:t>提高出口退税率，鼓励企业出口      ④大力发行国债，发展重点产业</w:t>
      </w:r>
      <w:r>
        <w:rPr>
          <w:spacing w:val="-1"/>
        </w:rPr>
        <w:t xml:space="preserve">A．③④       </w:t>
      </w:r>
      <w:r>
        <w:rPr>
          <w:spacing w:val="10"/>
        </w:rPr>
        <w:t xml:space="preserve"> </w:t>
      </w:r>
      <w:r>
        <w:t>B．①③              C．①②</w:t>
      </w:r>
      <w:r>
        <w:tab/>
      </w:r>
      <w:r>
        <w:t xml:space="preserve">D．②④ </w:t>
      </w:r>
    </w:p>
    <w:p>
      <w:pPr>
        <w:pStyle w:val="9"/>
        <w:numPr>
          <w:ilvl w:val="0"/>
          <w:numId w:val="2"/>
        </w:numPr>
        <w:tabs>
          <w:tab w:val="left" w:pos="462"/>
        </w:tabs>
        <w:spacing w:before="0" w:after="0" w:line="266" w:lineRule="exact"/>
        <w:ind w:left="461" w:right="0" w:hanging="362"/>
        <w:jc w:val="left"/>
        <w:rPr>
          <w:sz w:val="24"/>
        </w:rPr>
      </w:pPr>
      <w:r>
        <w:pict>
          <v:line id="_x0000_s1026" o:spid="_x0000_s1026" o:spt="20" style="position:absolute;left:0pt;margin-left:84.25pt;margin-top:25.5pt;height:38.15pt;width:93.95pt;mso-position-horizontal-relative:page;z-index:-15901696;mso-width-relative:page;mso-height-relative:page;" stroked="t" coordsize="21600,21600">
            <v:path arrowok="t"/>
            <v:fill focussize="0,0"/>
            <v:stroke weight="0.48pt" color="#000000"/>
            <v:imagedata o:title=""/>
            <o:lock v:ext="edit"/>
          </v:line>
        </w:pict>
      </w:r>
      <w:r>
        <w:rPr>
          <w:sz w:val="24"/>
        </w:rPr>
        <w:t>近三年来，某国财政赤字率和通货膨胀率的变化如下表所示。</w:t>
      </w:r>
    </w:p>
    <w:p>
      <w:pPr>
        <w:pStyle w:val="3"/>
        <w:spacing w:before="5"/>
        <w:ind w:left="0"/>
        <w:rPr>
          <w:sz w:val="18"/>
        </w:rPr>
      </w:pPr>
    </w:p>
    <w:tbl>
      <w:tblPr>
        <w:tblStyle w:val="6"/>
        <w:tblW w:w="0" w:type="auto"/>
        <w:tblInd w:w="7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9"/>
        <w:gridCol w:w="1890"/>
        <w:gridCol w:w="1890"/>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889" w:type="dxa"/>
          </w:tcPr>
          <w:p>
            <w:pPr>
              <w:pStyle w:val="10"/>
              <w:spacing w:before="38"/>
              <w:ind w:left="587"/>
              <w:jc w:val="left"/>
              <w:rPr>
                <w:rFonts w:hint="eastAsia" w:ascii="宋体" w:eastAsia="宋体"/>
                <w:sz w:val="24"/>
              </w:rPr>
            </w:pPr>
            <w:r>
              <w:rPr>
                <w:rFonts w:hint="eastAsia" w:ascii="宋体" w:eastAsia="宋体"/>
                <w:sz w:val="24"/>
              </w:rPr>
              <w:t>年份</w:t>
            </w:r>
          </w:p>
          <w:p>
            <w:pPr>
              <w:pStyle w:val="10"/>
              <w:spacing w:before="74"/>
              <w:ind w:left="587"/>
              <w:jc w:val="left"/>
              <w:rPr>
                <w:rFonts w:hint="eastAsia" w:ascii="宋体" w:eastAsia="宋体"/>
                <w:sz w:val="24"/>
              </w:rPr>
            </w:pPr>
            <w:r>
              <w:rPr>
                <w:rFonts w:hint="eastAsia" w:ascii="宋体" w:eastAsia="宋体"/>
                <w:sz w:val="24"/>
              </w:rPr>
              <w:t>指标</w:t>
            </w:r>
          </w:p>
        </w:tc>
        <w:tc>
          <w:tcPr>
            <w:tcW w:w="1890" w:type="dxa"/>
          </w:tcPr>
          <w:p>
            <w:pPr>
              <w:pStyle w:val="10"/>
              <w:spacing w:before="230"/>
              <w:ind w:left="773" w:right="284"/>
              <w:rPr>
                <w:rFonts w:hint="eastAsia" w:ascii="宋体" w:eastAsia="宋体"/>
                <w:sz w:val="24"/>
              </w:rPr>
            </w:pPr>
            <w:r>
              <w:rPr>
                <w:sz w:val="24"/>
              </w:rPr>
              <w:t xml:space="preserve">2015 </w:t>
            </w:r>
            <w:r>
              <w:rPr>
                <w:rFonts w:hint="eastAsia" w:ascii="宋体" w:eastAsia="宋体"/>
                <w:sz w:val="24"/>
              </w:rPr>
              <w:t>年</w:t>
            </w:r>
          </w:p>
        </w:tc>
        <w:tc>
          <w:tcPr>
            <w:tcW w:w="1890" w:type="dxa"/>
          </w:tcPr>
          <w:p>
            <w:pPr>
              <w:pStyle w:val="10"/>
              <w:spacing w:before="230"/>
              <w:ind w:left="772" w:right="285"/>
              <w:rPr>
                <w:rFonts w:hint="eastAsia" w:ascii="宋体" w:eastAsia="宋体"/>
                <w:sz w:val="24"/>
              </w:rPr>
            </w:pPr>
            <w:r>
              <w:rPr>
                <w:sz w:val="24"/>
              </w:rPr>
              <w:t xml:space="preserve">2016 </w:t>
            </w:r>
            <w:r>
              <w:rPr>
                <w:rFonts w:hint="eastAsia" w:ascii="宋体" w:eastAsia="宋体"/>
                <w:sz w:val="24"/>
              </w:rPr>
              <w:t>年</w:t>
            </w:r>
          </w:p>
        </w:tc>
        <w:tc>
          <w:tcPr>
            <w:tcW w:w="1893" w:type="dxa"/>
          </w:tcPr>
          <w:p>
            <w:pPr>
              <w:pStyle w:val="10"/>
              <w:spacing w:before="230"/>
              <w:ind w:left="772" w:right="290"/>
              <w:rPr>
                <w:rFonts w:hint="eastAsia" w:ascii="宋体" w:eastAsia="宋体"/>
                <w:sz w:val="24"/>
              </w:rPr>
            </w:pPr>
            <w:r>
              <w:rPr>
                <w:sz w:val="24"/>
              </w:rPr>
              <w:t xml:space="preserve">2017 </w:t>
            </w:r>
            <w:r>
              <w:rPr>
                <w:rFonts w:hint="eastAsia" w:ascii="宋体" w:eastAsia="宋体"/>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889" w:type="dxa"/>
          </w:tcPr>
          <w:p>
            <w:pPr>
              <w:pStyle w:val="10"/>
              <w:spacing w:before="40"/>
              <w:ind w:left="107"/>
              <w:jc w:val="left"/>
              <w:rPr>
                <w:rFonts w:hint="eastAsia" w:ascii="宋体" w:eastAsia="宋体"/>
                <w:sz w:val="24"/>
              </w:rPr>
            </w:pPr>
            <w:r>
              <w:rPr>
                <w:rFonts w:hint="eastAsia" w:ascii="宋体" w:eastAsia="宋体"/>
                <w:sz w:val="24"/>
              </w:rPr>
              <w:t>财政赤字率</w:t>
            </w:r>
          </w:p>
        </w:tc>
        <w:tc>
          <w:tcPr>
            <w:tcW w:w="1890" w:type="dxa"/>
          </w:tcPr>
          <w:p>
            <w:pPr>
              <w:pStyle w:val="10"/>
              <w:spacing w:before="54"/>
              <w:ind w:left="773" w:right="284"/>
              <w:rPr>
                <w:sz w:val="24"/>
              </w:rPr>
            </w:pPr>
            <w:r>
              <w:rPr>
                <w:sz w:val="24"/>
              </w:rPr>
              <w:t>3%</w:t>
            </w:r>
          </w:p>
        </w:tc>
        <w:tc>
          <w:tcPr>
            <w:tcW w:w="1890" w:type="dxa"/>
          </w:tcPr>
          <w:p>
            <w:pPr>
              <w:pStyle w:val="10"/>
              <w:spacing w:before="54"/>
              <w:ind w:left="770" w:right="285"/>
              <w:rPr>
                <w:sz w:val="24"/>
              </w:rPr>
            </w:pPr>
            <w:r>
              <w:rPr>
                <w:sz w:val="24"/>
              </w:rPr>
              <w:t>4.2%</w:t>
            </w:r>
          </w:p>
        </w:tc>
        <w:tc>
          <w:tcPr>
            <w:tcW w:w="1893" w:type="dxa"/>
          </w:tcPr>
          <w:p>
            <w:pPr>
              <w:pStyle w:val="10"/>
              <w:spacing w:before="54"/>
              <w:ind w:left="770" w:right="290"/>
              <w:rPr>
                <w:sz w:val="24"/>
              </w:rPr>
            </w:pPr>
            <w:r>
              <w:rPr>
                <w:sz w:val="24"/>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89" w:type="dxa"/>
          </w:tcPr>
          <w:p>
            <w:pPr>
              <w:pStyle w:val="10"/>
              <w:spacing w:before="38"/>
              <w:ind w:left="107"/>
              <w:jc w:val="left"/>
              <w:rPr>
                <w:rFonts w:hint="eastAsia" w:ascii="宋体" w:eastAsia="宋体"/>
                <w:sz w:val="24"/>
              </w:rPr>
            </w:pPr>
            <w:r>
              <w:rPr>
                <w:rFonts w:hint="eastAsia" w:ascii="宋体" w:eastAsia="宋体"/>
                <w:sz w:val="24"/>
              </w:rPr>
              <w:t>通货膨胀率</w:t>
            </w:r>
          </w:p>
        </w:tc>
        <w:tc>
          <w:tcPr>
            <w:tcW w:w="1890" w:type="dxa"/>
          </w:tcPr>
          <w:p>
            <w:pPr>
              <w:pStyle w:val="10"/>
              <w:spacing w:before="51"/>
              <w:ind w:left="773" w:right="284"/>
              <w:rPr>
                <w:sz w:val="24"/>
              </w:rPr>
            </w:pPr>
            <w:r>
              <w:rPr>
                <w:sz w:val="24"/>
              </w:rPr>
              <w:t>5%</w:t>
            </w:r>
          </w:p>
        </w:tc>
        <w:tc>
          <w:tcPr>
            <w:tcW w:w="1890" w:type="dxa"/>
          </w:tcPr>
          <w:p>
            <w:pPr>
              <w:pStyle w:val="10"/>
              <w:spacing w:before="51"/>
              <w:ind w:left="770" w:right="285"/>
              <w:rPr>
                <w:sz w:val="24"/>
              </w:rPr>
            </w:pPr>
            <w:r>
              <w:rPr>
                <w:sz w:val="24"/>
              </w:rPr>
              <w:t>7.5%</w:t>
            </w:r>
          </w:p>
        </w:tc>
        <w:tc>
          <w:tcPr>
            <w:tcW w:w="1893" w:type="dxa"/>
          </w:tcPr>
          <w:p>
            <w:pPr>
              <w:pStyle w:val="10"/>
              <w:spacing w:before="51"/>
              <w:ind w:left="772" w:right="290"/>
              <w:rPr>
                <w:sz w:val="24"/>
              </w:rPr>
            </w:pPr>
            <w:r>
              <w:rPr>
                <w:sz w:val="24"/>
              </w:rPr>
              <w:t>13%</w:t>
            </w:r>
          </w:p>
        </w:tc>
      </w:tr>
    </w:tbl>
    <w:p>
      <w:pPr>
        <w:pStyle w:val="3"/>
        <w:tabs>
          <w:tab w:val="left" w:pos="6300"/>
        </w:tabs>
        <w:spacing w:before="38"/>
        <w:rPr>
          <w:rFonts w:ascii="Times New Roman" w:eastAsia="Times New Roman"/>
        </w:rPr>
      </w:pPr>
      <w:r>
        <w:t>为了应对这种局面，该国不会采取的政策措施是</w:t>
      </w:r>
      <w:r>
        <w:rPr>
          <w:rFonts w:ascii="Times New Roman" w:eastAsia="Times New Roman"/>
        </w:rPr>
        <w:t>(</w:t>
      </w:r>
      <w:r>
        <w:rPr>
          <w:rFonts w:ascii="Times New Roman" w:eastAsia="Times New Roman"/>
        </w:rPr>
        <w:tab/>
      </w:r>
      <w:r>
        <w:rPr>
          <w:rFonts w:ascii="Times New Roman" w:eastAsia="Times New Roman"/>
        </w:rPr>
        <w:t>)</w:t>
      </w:r>
    </w:p>
    <w:p>
      <w:pPr>
        <w:pStyle w:val="3"/>
        <w:tabs>
          <w:tab w:val="left" w:pos="4720"/>
        </w:tabs>
        <w:spacing w:before="74"/>
      </w:pPr>
      <w:r>
        <w:t>①降低企业所得税税率</w:t>
      </w:r>
      <w:r>
        <w:tab/>
      </w:r>
      <w:r>
        <w:t>②央行在市场上出售债券</w:t>
      </w:r>
    </w:p>
    <w:p>
      <w:pPr>
        <w:pStyle w:val="3"/>
        <w:tabs>
          <w:tab w:val="left" w:pos="4720"/>
        </w:tabs>
        <w:spacing w:before="74"/>
      </w:pPr>
      <w:r>
        <w:t>③降低存款准备金率</w:t>
      </w:r>
      <w:r>
        <w:tab/>
      </w:r>
      <w:r>
        <w:t>④压缩政府开支</w:t>
      </w:r>
    </w:p>
    <w:p>
      <w:pPr>
        <w:pStyle w:val="3"/>
        <w:tabs>
          <w:tab w:val="left" w:pos="2411"/>
          <w:tab w:val="left" w:pos="4720"/>
        </w:tabs>
        <w:spacing w:before="118"/>
      </w:pPr>
      <w:r>
        <w:t>A．①③</w:t>
      </w:r>
      <w:r>
        <w:tab/>
      </w:r>
      <w:r>
        <w:t>B．①④</w:t>
      </w:r>
      <w:r>
        <w:tab/>
      </w:r>
      <w:r>
        <w:t xml:space="preserve">C．②③             D．②④ </w:t>
      </w:r>
    </w:p>
    <w:p>
      <w:pPr>
        <w:spacing w:after="0"/>
        <w:sectPr>
          <w:pgSz w:w="11910" w:h="16840"/>
          <w:pgMar w:top="1460" w:right="840" w:bottom="1880" w:left="980" w:header="0" w:footer="1683" w:gutter="0"/>
        </w:sectPr>
      </w:pPr>
    </w:p>
    <w:p>
      <w:pPr>
        <w:pStyle w:val="3"/>
        <w:spacing w:before="1"/>
        <w:ind w:left="0"/>
        <w:rPr>
          <w:sz w:val="27"/>
        </w:rPr>
      </w:pPr>
    </w:p>
    <w:p>
      <w:pPr>
        <w:pStyle w:val="3"/>
        <w:spacing w:before="66"/>
        <w:ind w:left="100"/>
        <w:rPr>
          <w:rFonts w:hint="eastAsia" w:ascii="黑体" w:eastAsia="黑体"/>
        </w:rPr>
      </w:pPr>
      <w:r>
        <w:rPr>
          <w:rFonts w:hint="eastAsia" w:ascii="黑体" w:eastAsia="黑体"/>
          <w:spacing w:val="-5"/>
        </w:rPr>
        <w:t xml:space="preserve">二、非选择题 (本题共 </w:t>
      </w:r>
      <w:r>
        <w:rPr>
          <w:rFonts w:hint="eastAsia" w:ascii="黑体" w:eastAsia="黑体"/>
        </w:rPr>
        <w:t>4</w:t>
      </w:r>
      <w:r>
        <w:rPr>
          <w:rFonts w:hint="eastAsia" w:ascii="黑体" w:eastAsia="黑体"/>
          <w:spacing w:val="-24"/>
        </w:rPr>
        <w:t xml:space="preserve"> 题，共 </w:t>
      </w:r>
      <w:r>
        <w:rPr>
          <w:rFonts w:hint="eastAsia" w:ascii="黑体" w:eastAsia="黑体"/>
        </w:rPr>
        <w:t>40</w:t>
      </w:r>
      <w:r>
        <w:rPr>
          <w:rFonts w:hint="eastAsia" w:ascii="黑体" w:eastAsia="黑体"/>
          <w:spacing w:val="-15"/>
        </w:rPr>
        <w:t xml:space="preserve"> 分。)</w:t>
      </w:r>
    </w:p>
    <w:p>
      <w:pPr>
        <w:pStyle w:val="3"/>
        <w:spacing w:before="6"/>
        <w:ind w:left="0"/>
        <w:rPr>
          <w:rFonts w:ascii="黑体"/>
          <w:sz w:val="28"/>
        </w:rPr>
      </w:pPr>
    </w:p>
    <w:p>
      <w:pPr>
        <w:pStyle w:val="9"/>
        <w:numPr>
          <w:ilvl w:val="0"/>
          <w:numId w:val="2"/>
        </w:numPr>
        <w:tabs>
          <w:tab w:val="left" w:pos="702"/>
        </w:tabs>
        <w:spacing w:before="0" w:after="0" w:line="240" w:lineRule="auto"/>
        <w:ind w:left="701" w:right="0" w:hanging="362"/>
        <w:jc w:val="left"/>
        <w:rPr>
          <w:sz w:val="24"/>
        </w:rPr>
      </w:pPr>
      <w:r>
        <w:rPr>
          <w:spacing w:val="-1"/>
          <w:sz w:val="24"/>
        </w:rPr>
        <w:t>阅读材料,完成下列要求</w:t>
      </w:r>
      <w:r>
        <w:rPr>
          <w:sz w:val="24"/>
        </w:rPr>
        <w:t xml:space="preserve"> </w:t>
      </w:r>
    </w:p>
    <w:p>
      <w:pPr>
        <w:pStyle w:val="3"/>
        <w:spacing w:before="2"/>
        <w:ind w:left="0"/>
        <w:rPr>
          <w:sz w:val="29"/>
        </w:rPr>
      </w:pPr>
    </w:p>
    <w:p>
      <w:pPr>
        <w:pStyle w:val="3"/>
        <w:spacing w:line="312" w:lineRule="auto"/>
        <w:ind w:left="100" w:right="239" w:firstLine="480"/>
        <w:jc w:val="both"/>
        <w:rPr>
          <w:rFonts w:hint="eastAsia" w:ascii="楷体" w:eastAsia="楷体"/>
        </w:rPr>
      </w:pPr>
      <w:r>
        <w:rPr>
          <w:rFonts w:hint="eastAsia" w:ascii="楷体" w:eastAsia="楷体"/>
        </w:rPr>
        <w:t>材料一  十九届四中全会重申中国将继续毫不动摇巩固和发展公有制经济，毫不动摇鼓</w:t>
      </w:r>
      <w:r>
        <w:rPr>
          <w:rFonts w:hint="eastAsia" w:ascii="楷体" w:eastAsia="楷体"/>
          <w:spacing w:val="-3"/>
        </w:rPr>
        <w:t>励、支持、引导非公有制经济发展。在国有企业方面，战略上，继续推进国有经济布局优化和结构调整，发展混合所有制经济，做强做优做大国有资本。具体来说，要继续深化国有企业改革，完善中国特色现代企业制度，形成以管资本为主的国有资产监管体制。要切实加强党对国</w:t>
      </w:r>
      <w:r>
        <w:rPr>
          <w:rFonts w:hint="eastAsia" w:ascii="楷体" w:eastAsia="楷体"/>
        </w:rPr>
        <w:t>有企业的全面领导，把加强党的领导和完善公司治理统一起来。</w:t>
      </w:r>
    </w:p>
    <w:p>
      <w:pPr>
        <w:pStyle w:val="3"/>
        <w:ind w:left="0"/>
        <w:rPr>
          <w:rFonts w:ascii="楷体"/>
          <w:sz w:val="22"/>
        </w:rPr>
      </w:pPr>
    </w:p>
    <w:p>
      <w:pPr>
        <w:pStyle w:val="3"/>
        <w:spacing w:line="312" w:lineRule="auto"/>
        <w:ind w:left="100" w:right="239" w:firstLine="480"/>
        <w:jc w:val="both"/>
        <w:rPr>
          <w:rFonts w:hint="eastAsia" w:ascii="楷体" w:eastAsia="楷体"/>
        </w:rPr>
      </w:pPr>
      <w:r>
        <w:rPr>
          <w:rFonts w:hint="eastAsia" w:ascii="楷体" w:eastAsia="楷体"/>
        </w:rPr>
        <w:t>材料二 国家发展改革委近日发布《中国营商环境报告 2020</w:t>
      </w:r>
      <w:r>
        <w:rPr>
          <w:rFonts w:hint="eastAsia" w:ascii="楷体" w:eastAsia="楷体"/>
          <w:spacing w:val="-12"/>
        </w:rPr>
        <w:t>》，全面展现我国优化营商环</w:t>
      </w:r>
      <w:r>
        <w:rPr>
          <w:rFonts w:hint="eastAsia" w:ascii="楷体" w:eastAsia="楷体"/>
          <w:spacing w:val="-3"/>
        </w:rPr>
        <w:t>境工作的积极成效，总结推广各地区、各部门典型经验做法，加快打造市场化、法治化、国际化、便利化的一流营商环境。营商环境是民营企业生发的土壤，特别是在经济下行压力较大的背景下，要不断为民营经济营造更好的发展环境，加大融资支持力度，建立分层次的项目投融资对接机制，研发推广有关地方建立民营企业贷款风险补偿机制的做法，鼓励地方设立基础设施民间投资基金，鼓励金融机构运用大数据为民营企业贷款提供支撑。引导全融贵源流向民营</w:t>
      </w:r>
      <w:r>
        <w:rPr>
          <w:rFonts w:hint="eastAsia" w:ascii="楷体" w:eastAsia="楷体"/>
        </w:rPr>
        <w:t>企业，帮助民营经济解决发展中的困难，支持民营企业改革发展。</w:t>
      </w:r>
    </w:p>
    <w:p>
      <w:pPr>
        <w:pStyle w:val="3"/>
        <w:ind w:left="0"/>
        <w:rPr>
          <w:rFonts w:ascii="楷体"/>
          <w:sz w:val="22"/>
        </w:rPr>
      </w:pPr>
    </w:p>
    <w:p>
      <w:pPr>
        <w:pStyle w:val="2"/>
        <w:numPr>
          <w:ilvl w:val="0"/>
          <w:numId w:val="3"/>
        </w:numPr>
        <w:tabs>
          <w:tab w:val="left" w:pos="821"/>
        </w:tabs>
        <w:spacing w:before="0" w:after="0" w:line="240" w:lineRule="auto"/>
        <w:ind w:left="820" w:right="0" w:hanging="721"/>
        <w:jc w:val="left"/>
      </w:pPr>
      <w:r>
        <w:rPr>
          <w:spacing w:val="-4"/>
        </w:rPr>
        <w:t>结合材料一，运用所学知识，说明党和国家是如何推动国有企业更好发展的。</w:t>
      </w:r>
      <w:r>
        <w:t>（6</w:t>
      </w:r>
      <w:r>
        <w:rPr>
          <w:spacing w:val="-33"/>
        </w:rPr>
        <w:t xml:space="preserve"> 分</w:t>
      </w:r>
      <w:r>
        <w:t>）</w:t>
      </w:r>
      <w:r>
        <w:rPr>
          <w:w w:val="99"/>
        </w:rPr>
        <w:t xml:space="preserve"> </w:t>
      </w:r>
    </w:p>
    <w:p>
      <w:pPr>
        <w:pStyle w:val="3"/>
        <w:ind w:left="0"/>
        <w:rPr>
          <w:b/>
          <w:sz w:val="20"/>
        </w:rPr>
      </w:pPr>
    </w:p>
    <w:p>
      <w:pPr>
        <w:pStyle w:val="3"/>
        <w:ind w:left="0"/>
        <w:rPr>
          <w:b/>
          <w:sz w:val="20"/>
        </w:rPr>
      </w:pPr>
    </w:p>
    <w:p>
      <w:pPr>
        <w:pStyle w:val="3"/>
        <w:ind w:left="0"/>
        <w:rPr>
          <w:b/>
          <w:sz w:val="20"/>
        </w:rPr>
      </w:pPr>
    </w:p>
    <w:p>
      <w:pPr>
        <w:pStyle w:val="3"/>
        <w:ind w:left="0"/>
        <w:rPr>
          <w:b/>
          <w:sz w:val="20"/>
        </w:rPr>
      </w:pPr>
    </w:p>
    <w:p>
      <w:pPr>
        <w:pStyle w:val="3"/>
        <w:ind w:left="0"/>
        <w:rPr>
          <w:b/>
          <w:sz w:val="20"/>
        </w:rPr>
      </w:pPr>
    </w:p>
    <w:p>
      <w:pPr>
        <w:pStyle w:val="3"/>
        <w:ind w:left="0"/>
        <w:rPr>
          <w:b/>
          <w:sz w:val="20"/>
        </w:rPr>
      </w:pPr>
    </w:p>
    <w:p>
      <w:pPr>
        <w:pStyle w:val="3"/>
        <w:ind w:left="0"/>
        <w:rPr>
          <w:b/>
          <w:sz w:val="20"/>
        </w:rPr>
      </w:pPr>
    </w:p>
    <w:p>
      <w:pPr>
        <w:pStyle w:val="3"/>
        <w:ind w:left="0"/>
        <w:rPr>
          <w:b/>
          <w:sz w:val="20"/>
        </w:rPr>
      </w:pPr>
    </w:p>
    <w:p>
      <w:pPr>
        <w:pStyle w:val="3"/>
        <w:spacing w:before="3"/>
        <w:ind w:left="0"/>
        <w:rPr>
          <w:b/>
          <w:sz w:val="23"/>
        </w:rPr>
      </w:pPr>
    </w:p>
    <w:p>
      <w:pPr>
        <w:pStyle w:val="9"/>
        <w:numPr>
          <w:ilvl w:val="0"/>
          <w:numId w:val="3"/>
        </w:numPr>
        <w:tabs>
          <w:tab w:val="left" w:pos="821"/>
        </w:tabs>
        <w:spacing w:before="66" w:after="0" w:line="312" w:lineRule="auto"/>
        <w:ind w:left="820" w:right="243" w:hanging="721"/>
        <w:jc w:val="left"/>
        <w:rPr>
          <w:b/>
          <w:sz w:val="24"/>
        </w:rPr>
      </w:pPr>
      <w:r>
        <w:rPr>
          <w:b/>
          <w:sz w:val="24"/>
        </w:rPr>
        <w:t>有人认为，国家支持民营企业改革发展是基于经济下行压力较大的经济背景做出的短</w:t>
      </w:r>
      <w:r>
        <w:rPr>
          <w:b/>
          <w:spacing w:val="-6"/>
          <w:sz w:val="24"/>
        </w:rPr>
        <w:t>期战略选择。请结合材料二对此观点加以评析。</w:t>
      </w:r>
      <w:r>
        <w:rPr>
          <w:b/>
          <w:sz w:val="24"/>
        </w:rPr>
        <w:t>（8</w:t>
      </w:r>
      <w:r>
        <w:rPr>
          <w:b/>
          <w:spacing w:val="-31"/>
          <w:sz w:val="24"/>
        </w:rPr>
        <w:t xml:space="preserve"> 分</w:t>
      </w:r>
      <w:r>
        <w:rPr>
          <w:b/>
          <w:sz w:val="24"/>
        </w:rPr>
        <w:t>）</w:t>
      </w:r>
      <w:r>
        <w:rPr>
          <w:b/>
          <w:w w:val="99"/>
          <w:sz w:val="24"/>
        </w:rPr>
        <w:t xml:space="preserve"> </w:t>
      </w:r>
    </w:p>
    <w:p>
      <w:pPr>
        <w:pStyle w:val="3"/>
        <w:ind w:left="0"/>
        <w:rPr>
          <w:b/>
          <w:sz w:val="20"/>
        </w:rPr>
      </w:pPr>
    </w:p>
    <w:p>
      <w:pPr>
        <w:pStyle w:val="3"/>
        <w:ind w:left="0"/>
        <w:rPr>
          <w:b/>
          <w:sz w:val="20"/>
        </w:rPr>
      </w:pPr>
    </w:p>
    <w:p>
      <w:pPr>
        <w:pStyle w:val="3"/>
        <w:ind w:left="0"/>
        <w:rPr>
          <w:b/>
          <w:sz w:val="20"/>
        </w:rPr>
      </w:pPr>
    </w:p>
    <w:p>
      <w:pPr>
        <w:pStyle w:val="3"/>
        <w:ind w:left="0"/>
        <w:rPr>
          <w:b/>
          <w:sz w:val="20"/>
        </w:rPr>
      </w:pPr>
    </w:p>
    <w:p>
      <w:pPr>
        <w:pStyle w:val="3"/>
        <w:ind w:left="0"/>
        <w:rPr>
          <w:b/>
          <w:sz w:val="20"/>
        </w:rPr>
      </w:pPr>
    </w:p>
    <w:p>
      <w:pPr>
        <w:pStyle w:val="3"/>
        <w:spacing w:before="10"/>
        <w:ind w:left="0"/>
        <w:rPr>
          <w:b/>
          <w:sz w:val="22"/>
        </w:rPr>
      </w:pPr>
    </w:p>
    <w:p>
      <w:pPr>
        <w:pStyle w:val="2"/>
        <w:spacing w:before="66"/>
        <w:ind w:left="820"/>
      </w:pPr>
      <w:r>
        <w:rPr>
          <w:w w:val="99"/>
        </w:rPr>
        <w:t xml:space="preserve"> </w:t>
      </w:r>
    </w:p>
    <w:p>
      <w:pPr>
        <w:spacing w:after="0"/>
        <w:sectPr>
          <w:pgSz w:w="11910" w:h="16840"/>
          <w:pgMar w:top="1580" w:right="840" w:bottom="1880" w:left="980" w:header="0" w:footer="1683" w:gutter="0"/>
        </w:sectPr>
      </w:pPr>
    </w:p>
    <w:p>
      <w:pPr>
        <w:pStyle w:val="9"/>
        <w:numPr>
          <w:ilvl w:val="0"/>
          <w:numId w:val="2"/>
        </w:numPr>
        <w:tabs>
          <w:tab w:val="left" w:pos="462"/>
        </w:tabs>
        <w:spacing w:before="43" w:after="0" w:line="240" w:lineRule="auto"/>
        <w:ind w:left="461" w:right="0" w:hanging="362"/>
        <w:jc w:val="left"/>
        <w:rPr>
          <w:sz w:val="24"/>
        </w:rPr>
      </w:pPr>
      <w:r>
        <w:rPr>
          <w:spacing w:val="-1"/>
          <w:sz w:val="24"/>
        </w:rPr>
        <w:t>阅读材料,完成下列要求</w:t>
      </w:r>
      <w:r>
        <w:rPr>
          <w:sz w:val="24"/>
        </w:rPr>
        <w:t xml:space="preserve"> </w:t>
      </w:r>
    </w:p>
    <w:p>
      <w:pPr>
        <w:pStyle w:val="3"/>
        <w:spacing w:before="8"/>
        <w:ind w:left="0"/>
        <w:rPr>
          <w:sz w:val="15"/>
        </w:rPr>
      </w:pPr>
      <w:r>
        <w:drawing>
          <wp:anchor distT="0" distB="0" distL="0" distR="0" simplePos="0" relativeHeight="1024" behindDoc="0" locked="0" layoutInCell="1" allowOverlap="1">
            <wp:simplePos x="0" y="0"/>
            <wp:positionH relativeFrom="page">
              <wp:posOffset>2344420</wp:posOffset>
            </wp:positionH>
            <wp:positionV relativeFrom="paragraph">
              <wp:posOffset>151765</wp:posOffset>
            </wp:positionV>
            <wp:extent cx="3376295" cy="118427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3376174" cy="1184148"/>
                    </a:xfrm>
                    <a:prstGeom prst="rect">
                      <a:avLst/>
                    </a:prstGeom>
                  </pic:spPr>
                </pic:pic>
              </a:graphicData>
            </a:graphic>
          </wp:anchor>
        </w:drawing>
      </w:r>
    </w:p>
    <w:p>
      <w:pPr>
        <w:pStyle w:val="3"/>
        <w:spacing w:before="195" w:line="312" w:lineRule="auto"/>
        <w:ind w:left="100" w:right="236" w:firstLine="480"/>
        <w:rPr>
          <w:rFonts w:hint="eastAsia" w:ascii="楷体" w:hAnsi="楷体" w:eastAsia="楷体"/>
        </w:rPr>
      </w:pPr>
      <w:r>
        <w:rPr>
          <w:rFonts w:hint="eastAsia" w:ascii="楷体" w:hAnsi="楷体" w:eastAsia="楷体"/>
        </w:rPr>
        <w:t>2020</w:t>
      </w:r>
      <w:r>
        <w:rPr>
          <w:rFonts w:hint="eastAsia" w:ascii="楷体" w:hAnsi="楷体" w:eastAsia="楷体"/>
          <w:spacing w:val="-29"/>
        </w:rPr>
        <w:t xml:space="preserve"> 年 </w:t>
      </w:r>
      <w:r>
        <w:rPr>
          <w:rFonts w:hint="eastAsia" w:ascii="楷体" w:hAnsi="楷体" w:eastAsia="楷体"/>
        </w:rPr>
        <w:t>11</w:t>
      </w:r>
      <w:r>
        <w:rPr>
          <w:rFonts w:hint="eastAsia" w:ascii="楷体" w:hAnsi="楷体" w:eastAsia="楷体"/>
          <w:spacing w:val="-30"/>
        </w:rPr>
        <w:t xml:space="preserve"> 月 </w:t>
      </w:r>
      <w:r>
        <w:rPr>
          <w:rFonts w:hint="eastAsia" w:ascii="楷体" w:hAnsi="楷体" w:eastAsia="楷体"/>
        </w:rPr>
        <w:t>12</w:t>
      </w:r>
      <w:r>
        <w:rPr>
          <w:rFonts w:hint="eastAsia" w:ascii="楷体" w:hAnsi="楷体" w:eastAsia="楷体"/>
          <w:spacing w:val="-10"/>
        </w:rPr>
        <w:t xml:space="preserve"> 日零点，第十二个天猫“双 </w:t>
      </w:r>
      <w:r>
        <w:rPr>
          <w:rFonts w:hint="eastAsia" w:ascii="楷体" w:hAnsi="楷体" w:eastAsia="楷体"/>
        </w:rPr>
        <w:t>11”</w:t>
      </w:r>
      <w:r>
        <w:rPr>
          <w:rFonts w:hint="eastAsia" w:ascii="楷体" w:hAnsi="楷体" w:eastAsia="楷体"/>
          <w:spacing w:val="-9"/>
        </w:rPr>
        <w:t xml:space="preserve">狂欢节在 </w:t>
      </w:r>
      <w:r>
        <w:rPr>
          <w:rFonts w:hint="eastAsia" w:ascii="楷体" w:hAnsi="楷体" w:eastAsia="楷体"/>
        </w:rPr>
        <w:t>4982</w:t>
      </w:r>
      <w:r>
        <w:rPr>
          <w:rFonts w:hint="eastAsia" w:ascii="楷体" w:hAnsi="楷体" w:eastAsia="楷体"/>
          <w:spacing w:val="-7"/>
        </w:rPr>
        <w:t xml:space="preserve"> 亿元的新记录上落下帷</w:t>
      </w:r>
      <w:r>
        <w:rPr>
          <w:rFonts w:hint="eastAsia" w:ascii="楷体" w:hAnsi="楷体" w:eastAsia="楷体"/>
        </w:rPr>
        <w:t>幕，让“亿元俱乐部”这一为人瞩目的商业现象再创新高。天猫是阿里巴巴旗下的子公司。</w:t>
      </w:r>
    </w:p>
    <w:p>
      <w:pPr>
        <w:pStyle w:val="3"/>
        <w:spacing w:before="2" w:line="312" w:lineRule="auto"/>
        <w:ind w:left="100" w:right="118" w:firstLine="480"/>
        <w:rPr>
          <w:rFonts w:hint="eastAsia" w:ascii="楷体" w:hAnsi="楷体" w:eastAsia="楷体"/>
        </w:rPr>
      </w:pPr>
      <w:r>
        <w:rPr>
          <w:rFonts w:hint="eastAsia" w:ascii="楷体" w:hAnsi="楷体" w:eastAsia="楷体"/>
          <w:spacing w:val="-1"/>
        </w:rPr>
        <w:t>阿里巴巴自创立以来，始终坚持以自主创新为目的的企业发展战略，以倡导人文管理和加强软实力建设为突破口，全面引进最先进的六西格玛管理法，公司取得了快速健康发展，成为国内互联网业名副其实的排头兵。在马云看来，财富并不只是金钱，他认为，诚信才是世界上</w:t>
      </w:r>
      <w:r>
        <w:rPr>
          <w:rFonts w:hint="eastAsia" w:ascii="楷体" w:hAnsi="楷体" w:eastAsia="楷体"/>
        </w:rPr>
        <w:t>最大的财富，创业者首先要过的是做人关，对社会讲诚信，把产品质量作为企业发展的基石。</w:t>
      </w:r>
      <w:r>
        <w:rPr>
          <w:rFonts w:hint="eastAsia" w:ascii="楷体" w:hAnsi="楷体" w:eastAsia="楷体"/>
          <w:spacing w:val="-1"/>
        </w:rPr>
        <w:t>良好的定位、稳固的结构、优秀的服务使阿里巴巴成为全球企业间电子商务的著名品牌，是目</w:t>
      </w:r>
      <w:r>
        <w:rPr>
          <w:rFonts w:hint="eastAsia" w:ascii="楷体" w:hAnsi="楷体" w:eastAsia="楷体"/>
          <w:spacing w:val="-10"/>
        </w:rPr>
        <w:t xml:space="preserve">前全球最大的网上贸易市场。阿里 </w:t>
      </w:r>
      <w:r>
        <w:rPr>
          <w:rFonts w:hint="eastAsia" w:ascii="楷体" w:hAnsi="楷体" w:eastAsia="楷体"/>
        </w:rPr>
        <w:t>CEO</w:t>
      </w:r>
      <w:r>
        <w:rPr>
          <w:rFonts w:hint="eastAsia" w:ascii="楷体" w:hAnsi="楷体" w:eastAsia="楷体"/>
          <w:spacing w:val="-10"/>
        </w:rPr>
        <w:t xml:space="preserve"> 张勇总结说</w:t>
      </w:r>
      <w:r>
        <w:rPr>
          <w:rFonts w:hint="eastAsia" w:ascii="楷体" w:hAnsi="楷体" w:eastAsia="楷体"/>
          <w:spacing w:val="-63"/>
        </w:rPr>
        <w:t xml:space="preserve">，“双 </w:t>
      </w:r>
      <w:r>
        <w:rPr>
          <w:rFonts w:hint="eastAsia" w:ascii="楷体" w:hAnsi="楷体" w:eastAsia="楷体"/>
        </w:rPr>
        <w:t>11</w:t>
      </w:r>
      <w:r>
        <w:rPr>
          <w:rFonts w:hint="eastAsia" w:ascii="楷体" w:hAnsi="楷体" w:eastAsia="楷体"/>
          <w:spacing w:val="-12"/>
        </w:rPr>
        <w:t>”不仅属于中国，也是属于全世界，</w:t>
      </w:r>
      <w:r>
        <w:rPr>
          <w:rFonts w:hint="eastAsia" w:ascii="楷体" w:hAnsi="楷体" w:eastAsia="楷体"/>
          <w:spacing w:val="-5"/>
        </w:rPr>
        <w:t xml:space="preserve">未来会越来越不一样，成交额达到 </w:t>
      </w:r>
      <w:r>
        <w:rPr>
          <w:rFonts w:hint="eastAsia" w:ascii="楷体" w:hAnsi="楷体" w:eastAsia="楷体"/>
        </w:rPr>
        <w:t>3000</w:t>
      </w:r>
      <w:r>
        <w:rPr>
          <w:rFonts w:hint="eastAsia" w:ascii="楷体" w:hAnsi="楷体" w:eastAsia="楷体"/>
          <w:spacing w:val="-22"/>
        </w:rPr>
        <w:t xml:space="preserve"> 亿、</w:t>
      </w:r>
      <w:r>
        <w:rPr>
          <w:rFonts w:hint="eastAsia" w:ascii="楷体" w:hAnsi="楷体" w:eastAsia="楷体"/>
        </w:rPr>
        <w:t>5000</w:t>
      </w:r>
      <w:r>
        <w:rPr>
          <w:rFonts w:hint="eastAsia" w:ascii="楷体" w:hAnsi="楷体" w:eastAsia="楷体"/>
          <w:spacing w:val="-23"/>
        </w:rPr>
        <w:t xml:space="preserve"> 亿，甚至 </w:t>
      </w:r>
      <w:r>
        <w:rPr>
          <w:rFonts w:hint="eastAsia" w:ascii="楷体" w:hAnsi="楷体" w:eastAsia="楷体"/>
        </w:rPr>
        <w:t>10000</w:t>
      </w:r>
      <w:r>
        <w:rPr>
          <w:rFonts w:hint="eastAsia" w:ascii="楷体" w:hAnsi="楷体" w:eastAsia="楷体"/>
          <w:spacing w:val="-9"/>
        </w:rPr>
        <w:t xml:space="preserve"> 亿，也会变成每个人平凡的</w:t>
      </w:r>
      <w:r>
        <w:rPr>
          <w:rFonts w:hint="eastAsia" w:ascii="楷体" w:hAnsi="楷体" w:eastAsia="楷体"/>
        </w:rPr>
        <w:t>一天。</w:t>
      </w:r>
    </w:p>
    <w:p>
      <w:pPr>
        <w:pStyle w:val="2"/>
        <w:spacing w:before="2"/>
      </w:pPr>
      <w:r>
        <w:t>结合材料，分析阿里巴巴成功的原因是什么？（8</w:t>
      </w:r>
      <w:r>
        <w:rPr>
          <w:spacing w:val="-31"/>
        </w:rPr>
        <w:t xml:space="preserve"> 分</w:t>
      </w:r>
      <w:r>
        <w:t>）</w:t>
      </w:r>
      <w:r>
        <w:rPr>
          <w:w w:val="99"/>
        </w:rPr>
        <w:t xml:space="preserve"> </w:t>
      </w: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ind w:left="0"/>
        <w:rPr>
          <w:b/>
        </w:rPr>
      </w:pPr>
    </w:p>
    <w:p>
      <w:pPr>
        <w:pStyle w:val="3"/>
        <w:spacing w:before="9"/>
        <w:ind w:left="0"/>
        <w:rPr>
          <w:b/>
          <w:sz w:val="33"/>
        </w:rPr>
      </w:pPr>
    </w:p>
    <w:p>
      <w:pPr>
        <w:pStyle w:val="9"/>
        <w:numPr>
          <w:ilvl w:val="0"/>
          <w:numId w:val="2"/>
        </w:numPr>
        <w:tabs>
          <w:tab w:val="left" w:pos="702"/>
        </w:tabs>
        <w:spacing w:before="0" w:after="0" w:line="240" w:lineRule="auto"/>
        <w:ind w:left="701" w:right="0" w:hanging="362"/>
        <w:jc w:val="left"/>
        <w:rPr>
          <w:sz w:val="24"/>
        </w:rPr>
      </w:pPr>
      <w:r>
        <w:rPr>
          <w:spacing w:val="-1"/>
          <w:sz w:val="24"/>
        </w:rPr>
        <w:t>阅读材料,完成下列要求</w:t>
      </w:r>
      <w:r>
        <w:rPr>
          <w:sz w:val="24"/>
        </w:rPr>
        <w:t xml:space="preserve"> </w:t>
      </w:r>
    </w:p>
    <w:p>
      <w:pPr>
        <w:pStyle w:val="3"/>
        <w:spacing w:before="92" w:line="312" w:lineRule="auto"/>
        <w:ind w:left="100" w:right="117" w:firstLine="480"/>
        <w:rPr>
          <w:rFonts w:hint="eastAsia" w:ascii="楷体" w:hAnsi="楷体" w:eastAsia="楷体"/>
        </w:rPr>
      </w:pPr>
      <w:r>
        <w:rPr>
          <w:rFonts w:hint="eastAsia" w:ascii="楷体" w:hAnsi="楷体" w:eastAsia="楷体"/>
        </w:rPr>
        <w:t>党的十九届五中全会提出</w:t>
      </w:r>
      <w:r>
        <w:rPr>
          <w:rFonts w:hint="eastAsia" w:ascii="楷体" w:hAnsi="楷体" w:eastAsia="楷体"/>
          <w:spacing w:val="-28"/>
        </w:rPr>
        <w:t>，“全面深化改革，构建高水平社会主义市场经济体制。”强调“要</w:t>
      </w:r>
      <w:r>
        <w:rPr>
          <w:rFonts w:hint="eastAsia" w:ascii="楷体" w:hAnsi="楷体" w:eastAsia="楷体"/>
        </w:rPr>
        <w:t xml:space="preserve">激发各类市场主体活力，完善宏观经济治理，建立现代财税金融体制，建设高标准市场体系， </w:t>
      </w:r>
      <w:r>
        <w:rPr>
          <w:rFonts w:hint="eastAsia" w:ascii="楷体" w:hAnsi="楷体" w:eastAsia="楷体"/>
          <w:spacing w:val="-11"/>
        </w:rPr>
        <w:t>加快转变政府职能”，并把“社会主义市场经济体制更加完善，高标准市场体系基本建成，市</w:t>
      </w:r>
      <w:r>
        <w:rPr>
          <w:rFonts w:hint="eastAsia" w:ascii="楷体" w:hAnsi="楷体" w:eastAsia="楷体"/>
          <w:spacing w:val="-1"/>
        </w:rPr>
        <w:t>场主体更加充满活力，产权制度改革和要素市场化配置改革取得重大进展，公平竞争制度更加</w:t>
      </w:r>
      <w:r>
        <w:rPr>
          <w:rFonts w:hint="eastAsia" w:ascii="楷体" w:hAnsi="楷体" w:eastAsia="楷体"/>
        </w:rPr>
        <w:t>健全，更高水平开放型经济新体制基本形成”作为“十四五”时期经济社会发展的重要目标。</w:t>
      </w:r>
      <w:r>
        <w:rPr>
          <w:rFonts w:hint="eastAsia" w:ascii="楷体" w:hAnsi="楷体" w:eastAsia="楷体"/>
          <w:spacing w:val="-20"/>
        </w:rPr>
        <w:t>“十三五”时期，我国已成为全球第二大规模市场，市场活跃度不断提升，市场体系逐步健全。</w:t>
      </w:r>
      <w:r>
        <w:rPr>
          <w:rFonts w:hint="eastAsia" w:ascii="楷体" w:hAnsi="楷体" w:eastAsia="楷体"/>
        </w:rPr>
        <w:t xml:space="preserve">“十四五”时期，应利用这些有利条件，从顶层设计的角度出发，加快国内外标准规则对接， </w:t>
      </w:r>
      <w:r>
        <w:rPr>
          <w:rFonts w:hint="eastAsia" w:ascii="楷体" w:hAnsi="楷体" w:eastAsia="楷体"/>
          <w:spacing w:val="-1"/>
        </w:rPr>
        <w:t>全面推进现代市场体系建设，从体制机制上保障国内市场潜力持续释放，使国内市场规模优势</w:t>
      </w:r>
    </w:p>
    <w:p>
      <w:pPr>
        <w:spacing w:after="0" w:line="312" w:lineRule="auto"/>
        <w:rPr>
          <w:rFonts w:hint="eastAsia" w:ascii="楷体" w:hAnsi="楷体" w:eastAsia="楷体"/>
        </w:rPr>
        <w:sectPr>
          <w:pgSz w:w="11910" w:h="16840"/>
          <w:pgMar w:top="1460" w:right="840" w:bottom="1880" w:left="980" w:header="0" w:footer="1683" w:gutter="0"/>
        </w:sectPr>
      </w:pPr>
    </w:p>
    <w:p>
      <w:pPr>
        <w:pStyle w:val="3"/>
        <w:spacing w:before="43" w:line="312" w:lineRule="auto"/>
        <w:ind w:left="100" w:right="240"/>
        <w:rPr>
          <w:rFonts w:hint="eastAsia" w:ascii="楷体" w:hAnsi="楷体" w:eastAsia="楷体"/>
        </w:rPr>
      </w:pPr>
      <w:r>
        <w:rPr>
          <w:rFonts w:hint="eastAsia" w:ascii="楷体" w:hAnsi="楷体" w:eastAsia="楷体"/>
          <w:spacing w:val="-3"/>
        </w:rPr>
        <w:t>转化为“双循环”的引擎，高质量参与全球分工和高水平推进国际合作，有效带动世界经济复</w:t>
      </w:r>
      <w:r>
        <w:rPr>
          <w:rFonts w:hint="eastAsia" w:ascii="楷体" w:hAnsi="楷体" w:eastAsia="楷体"/>
        </w:rPr>
        <w:t>苏。</w:t>
      </w:r>
    </w:p>
    <w:p>
      <w:pPr>
        <w:pStyle w:val="2"/>
        <w:spacing w:line="307" w:lineRule="exact"/>
      </w:pPr>
      <w:r>
        <w:rPr>
          <w:spacing w:val="-4"/>
        </w:rPr>
        <w:t>结合材料运用所学知识，说明如何建设现代市场体系，更好维护市场经济秩序。</w:t>
      </w:r>
      <w:r>
        <w:t>（10</w:t>
      </w:r>
      <w:r>
        <w:rPr>
          <w:spacing w:val="-31"/>
        </w:rPr>
        <w:t xml:space="preserve"> 分</w:t>
      </w:r>
      <w:r>
        <w:t>）</w:t>
      </w:r>
      <w:r>
        <w:rPr>
          <w:w w:val="99"/>
        </w:rPr>
        <w:t xml:space="preserve"> </w:t>
      </w:r>
    </w:p>
    <w:p>
      <w:pPr>
        <w:pStyle w:val="3"/>
        <w:spacing w:before="94"/>
        <w:ind w:left="100"/>
      </w:pPr>
      <w:r>
        <w:t xml:space="preserve"> </w:t>
      </w:r>
    </w:p>
    <w:p>
      <w:pPr>
        <w:pStyle w:val="3"/>
        <w:spacing w:before="90"/>
        <w:ind w:left="100"/>
      </w:pPr>
      <w:r>
        <w:t xml:space="preserve"> </w:t>
      </w:r>
    </w:p>
    <w:p>
      <w:pPr>
        <w:pStyle w:val="3"/>
        <w:spacing w:before="94"/>
        <w:ind w:left="100"/>
      </w:pPr>
      <w:r>
        <w:t xml:space="preserve"> </w:t>
      </w:r>
    </w:p>
    <w:p>
      <w:pPr>
        <w:pStyle w:val="3"/>
        <w:spacing w:before="93"/>
        <w:ind w:left="100"/>
      </w:pPr>
      <w:r>
        <w:t xml:space="preserve"> </w:t>
      </w:r>
    </w:p>
    <w:p>
      <w:pPr>
        <w:pStyle w:val="3"/>
        <w:spacing w:before="91"/>
        <w:ind w:left="100"/>
      </w:pPr>
      <w:r>
        <w:t xml:space="preserve"> </w:t>
      </w:r>
    </w:p>
    <w:p>
      <w:pPr>
        <w:pStyle w:val="3"/>
        <w:spacing w:before="93"/>
        <w:ind w:left="100"/>
      </w:pPr>
      <w:r>
        <w:t xml:space="preserve"> </w:t>
      </w:r>
    </w:p>
    <w:p>
      <w:pPr>
        <w:pStyle w:val="9"/>
        <w:numPr>
          <w:ilvl w:val="0"/>
          <w:numId w:val="2"/>
        </w:numPr>
        <w:tabs>
          <w:tab w:val="left" w:pos="702"/>
        </w:tabs>
        <w:spacing w:before="94" w:after="0" w:line="240" w:lineRule="auto"/>
        <w:ind w:left="701" w:right="0" w:hanging="362"/>
        <w:jc w:val="left"/>
        <w:rPr>
          <w:sz w:val="24"/>
        </w:rPr>
      </w:pPr>
      <w:r>
        <w:rPr>
          <w:spacing w:val="-1"/>
          <w:sz w:val="24"/>
        </w:rPr>
        <w:t>阅读材料,完成下列要求</w:t>
      </w:r>
      <w:r>
        <w:rPr>
          <w:sz w:val="24"/>
        </w:rPr>
        <w:t xml:space="preserve"> </w:t>
      </w:r>
    </w:p>
    <w:p>
      <w:pPr>
        <w:pStyle w:val="3"/>
        <w:spacing w:before="91" w:line="312" w:lineRule="auto"/>
        <w:ind w:left="100" w:right="235" w:firstLine="480"/>
        <w:rPr>
          <w:rFonts w:hint="eastAsia" w:ascii="楷体" w:eastAsia="楷体"/>
        </w:rPr>
      </w:pPr>
      <w:r>
        <w:rPr>
          <w:rFonts w:hint="eastAsia" w:ascii="楷体" w:eastAsia="楷体"/>
          <w:spacing w:val="-19"/>
        </w:rPr>
        <w:t>习近平指出，老龄服务事业和产业发展空间十分广阔，要积极推进养老服务业制度、标准、</w:t>
      </w:r>
      <w:r>
        <w:rPr>
          <w:rFonts w:hint="eastAsia" w:ascii="楷体" w:eastAsia="楷体"/>
        </w:rPr>
        <w:t>设施、人才队伍建设，完善相关规划和扶持政策。</w:t>
      </w:r>
    </w:p>
    <w:p>
      <w:pPr>
        <w:pStyle w:val="3"/>
        <w:spacing w:before="2" w:line="312" w:lineRule="auto"/>
        <w:ind w:left="100" w:right="238" w:firstLine="420"/>
        <w:rPr>
          <w:rFonts w:hint="eastAsia" w:ascii="楷体" w:eastAsia="楷体"/>
        </w:rPr>
      </w:pPr>
      <w:r>
        <w:drawing>
          <wp:anchor distT="0" distB="0" distL="0" distR="0" simplePos="0" relativeHeight="487415808" behindDoc="1" locked="0" layoutInCell="1" allowOverlap="1">
            <wp:simplePos x="0" y="0"/>
            <wp:positionH relativeFrom="page">
              <wp:posOffset>990600</wp:posOffset>
            </wp:positionH>
            <wp:positionV relativeFrom="paragraph">
              <wp:posOffset>462280</wp:posOffset>
            </wp:positionV>
            <wp:extent cx="4836795" cy="200596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4836883" cy="2005784"/>
                    </a:xfrm>
                    <a:prstGeom prst="rect">
                      <a:avLst/>
                    </a:prstGeom>
                  </pic:spPr>
                </pic:pic>
              </a:graphicData>
            </a:graphic>
          </wp:anchor>
        </w:drawing>
      </w:r>
      <w:r>
        <w:rPr>
          <w:rFonts w:hint="eastAsia" w:ascii="楷体" w:eastAsia="楷体"/>
          <w:spacing w:val="-1"/>
        </w:rPr>
        <w:t>步入老龄化社会是一个国家经济社会发展的自然趋势，也是我国经济社会发展面临的巨大</w:t>
      </w:r>
      <w:r>
        <w:rPr>
          <w:rFonts w:hint="eastAsia" w:ascii="楷体" w:eastAsia="楷体"/>
          <w:spacing w:val="-3"/>
        </w:rPr>
        <w:t>挑战。近年来，国务院相关部委出台了一系列支持养老服务业发展的文件，在财政支特、市场</w:t>
      </w:r>
    </w:p>
    <w:p>
      <w:pPr>
        <w:pStyle w:val="3"/>
        <w:ind w:left="0"/>
        <w:rPr>
          <w:rFonts w:ascii="楷体"/>
        </w:rPr>
      </w:pPr>
    </w:p>
    <w:p>
      <w:pPr>
        <w:pStyle w:val="3"/>
        <w:ind w:left="0"/>
        <w:rPr>
          <w:rFonts w:ascii="楷体"/>
        </w:rPr>
      </w:pPr>
    </w:p>
    <w:p>
      <w:pPr>
        <w:pStyle w:val="3"/>
        <w:ind w:left="0"/>
        <w:rPr>
          <w:rFonts w:ascii="楷体"/>
        </w:rPr>
      </w:pPr>
    </w:p>
    <w:p>
      <w:pPr>
        <w:pStyle w:val="3"/>
        <w:ind w:left="0"/>
        <w:rPr>
          <w:rFonts w:ascii="楷体"/>
        </w:rPr>
      </w:pPr>
    </w:p>
    <w:p>
      <w:pPr>
        <w:pStyle w:val="3"/>
        <w:ind w:left="0"/>
        <w:rPr>
          <w:rFonts w:ascii="楷体"/>
        </w:rPr>
      </w:pPr>
    </w:p>
    <w:p>
      <w:pPr>
        <w:pStyle w:val="3"/>
        <w:ind w:left="0"/>
        <w:rPr>
          <w:rFonts w:ascii="楷体"/>
        </w:rPr>
      </w:pPr>
    </w:p>
    <w:p>
      <w:pPr>
        <w:pStyle w:val="3"/>
        <w:ind w:left="0"/>
        <w:rPr>
          <w:rFonts w:ascii="楷体"/>
        </w:rPr>
      </w:pPr>
    </w:p>
    <w:p>
      <w:pPr>
        <w:pStyle w:val="3"/>
        <w:ind w:left="0"/>
        <w:rPr>
          <w:rFonts w:ascii="楷体"/>
        </w:rPr>
      </w:pPr>
    </w:p>
    <w:p>
      <w:pPr>
        <w:pStyle w:val="3"/>
        <w:ind w:left="0"/>
        <w:rPr>
          <w:rFonts w:ascii="楷体"/>
        </w:rPr>
      </w:pPr>
    </w:p>
    <w:p>
      <w:pPr>
        <w:pStyle w:val="3"/>
        <w:ind w:left="0"/>
        <w:rPr>
          <w:rFonts w:ascii="楷体"/>
        </w:rPr>
      </w:pPr>
    </w:p>
    <w:p>
      <w:pPr>
        <w:pStyle w:val="3"/>
        <w:spacing w:before="7"/>
        <w:ind w:left="0"/>
        <w:rPr>
          <w:rFonts w:ascii="楷体"/>
          <w:sz w:val="20"/>
        </w:rPr>
      </w:pPr>
    </w:p>
    <w:p>
      <w:pPr>
        <w:pStyle w:val="3"/>
        <w:spacing w:line="312" w:lineRule="auto"/>
        <w:ind w:left="100" w:right="239"/>
        <w:rPr>
          <w:rFonts w:hint="eastAsia" w:ascii="楷体" w:eastAsia="楷体"/>
        </w:rPr>
      </w:pPr>
      <w:r>
        <w:rPr>
          <w:rFonts w:hint="eastAsia" w:ascii="楷体" w:eastAsia="楷体"/>
          <w:spacing w:val="-6"/>
        </w:rPr>
        <w:t>准入等方面为相关企业的发展提供了依托，使老年消费需求背后隐藏着的巨大市场空间逐渐显</w:t>
      </w:r>
      <w:r>
        <w:rPr>
          <w:rFonts w:hint="eastAsia" w:ascii="楷体" w:eastAsia="楷体"/>
        </w:rPr>
        <w:t>露。在市场和政策的双重刺激下，我国养老服务业的发展将迎来爆发期。</w:t>
      </w:r>
    </w:p>
    <w:p>
      <w:pPr>
        <w:pStyle w:val="3"/>
        <w:spacing w:before="12"/>
        <w:ind w:left="0"/>
        <w:rPr>
          <w:rFonts w:ascii="楷体"/>
          <w:sz w:val="21"/>
        </w:rPr>
      </w:pPr>
    </w:p>
    <w:p>
      <w:pPr>
        <w:pStyle w:val="2"/>
        <w:rPr>
          <w:spacing w:val="-1"/>
          <w:w w:val="99"/>
        </w:rPr>
      </w:pPr>
      <w:r>
        <w:rPr>
          <w:spacing w:val="-2"/>
          <w:w w:val="95"/>
        </w:rPr>
        <w:t>运用《经济生活》知识，结合材料，阐明政府和市场在养老服务业发展中发挥的作用</w:t>
      </w:r>
      <w:r>
        <w:rPr>
          <w:spacing w:val="-159"/>
          <w:w w:val="95"/>
        </w:rPr>
        <w:t>。</w:t>
      </w:r>
      <w:r>
        <w:rPr>
          <w:spacing w:val="-1"/>
          <w:w w:val="95"/>
        </w:rPr>
        <w:t>（8</w:t>
      </w:r>
      <w:r>
        <w:rPr>
          <w:rFonts w:hint="eastAsia"/>
          <w:spacing w:val="-1"/>
          <w:w w:val="95"/>
          <w:lang w:val="en-US" w:eastAsia="zh-CN"/>
        </w:rPr>
        <w:t xml:space="preserve"> </w:t>
      </w:r>
      <w:r>
        <w:rPr>
          <w:spacing w:val="3"/>
          <w:w w:val="95"/>
        </w:rPr>
        <w:t>分</w:t>
      </w:r>
      <w:r>
        <w:rPr>
          <w:spacing w:val="-1"/>
          <w:w w:val="95"/>
        </w:rPr>
        <w:t>）</w:t>
      </w:r>
      <w:r>
        <w:rPr>
          <w:spacing w:val="-1"/>
          <w:w w:val="99"/>
        </w:rPr>
        <w:t xml:space="preserve"> </w:t>
      </w:r>
    </w:p>
    <w:p>
      <w:pPr>
        <w:rPr>
          <w:spacing w:val="-1"/>
          <w:w w:val="99"/>
        </w:rPr>
      </w:pPr>
    </w:p>
    <w:p>
      <w:pPr>
        <w:rPr>
          <w:spacing w:val="-1"/>
          <w:w w:val="99"/>
        </w:rPr>
      </w:pPr>
    </w:p>
    <w:p>
      <w:pPr>
        <w:rPr>
          <w:spacing w:val="-1"/>
          <w:w w:val="99"/>
        </w:rPr>
      </w:pPr>
    </w:p>
    <w:p>
      <w:pPr>
        <w:rPr>
          <w:spacing w:val="-1"/>
          <w:w w:val="99"/>
        </w:rPr>
      </w:pPr>
    </w:p>
    <w:p>
      <w:pPr>
        <w:rPr>
          <w:spacing w:val="-1"/>
          <w:w w:val="99"/>
        </w:rPr>
      </w:pPr>
    </w:p>
    <w:p>
      <w:pPr>
        <w:rPr>
          <w:spacing w:val="-1"/>
          <w:w w:val="99"/>
        </w:rPr>
      </w:pPr>
    </w:p>
    <w:p>
      <w:pPr>
        <w:rPr>
          <w:spacing w:val="-1"/>
          <w:w w:val="99"/>
        </w:rPr>
      </w:pPr>
    </w:p>
    <w:p>
      <w:pPr>
        <w:rPr>
          <w:spacing w:val="-1"/>
          <w:w w:val="99"/>
        </w:rPr>
      </w:pPr>
    </w:p>
    <w:p>
      <w:pPr>
        <w:rPr>
          <w:spacing w:val="-1"/>
          <w:w w:val="99"/>
        </w:rPr>
      </w:pPr>
    </w:p>
    <w:p>
      <w:pPr>
        <w:rPr>
          <w:spacing w:val="-1"/>
          <w:w w:val="99"/>
        </w:rPr>
      </w:pPr>
    </w:p>
    <w:p>
      <w:pPr>
        <w:spacing w:after="200" w:line="300" w:lineRule="exact"/>
        <w:jc w:val="center"/>
        <w:rPr>
          <w:rFonts w:ascii="宋体" w:hAnsi="宋体" w:eastAsia="宋体" w:cs="宋体"/>
          <w:b/>
          <w:bCs/>
          <w:sz w:val="28"/>
          <w:szCs w:val="32"/>
        </w:rPr>
      </w:pPr>
      <w:r>
        <w:rPr>
          <w:rFonts w:hint="eastAsia" w:ascii="宋体" w:hAnsi="宋体" w:eastAsia="宋体" w:cs="宋体"/>
          <w:b/>
          <w:bCs/>
          <w:sz w:val="28"/>
          <w:szCs w:val="32"/>
        </w:rPr>
        <w:t>荆州中学2020级元月考试高一年级政治试卷</w:t>
      </w:r>
      <w:r>
        <w:rPr>
          <w:rFonts w:hint="eastAsia" w:ascii="宋体" w:hAnsi="宋体" w:eastAsia="宋体" w:cs="宋体"/>
          <w:b/>
          <w:sz w:val="28"/>
          <w:szCs w:val="32"/>
        </w:rPr>
        <w:t>参考答案</w:t>
      </w:r>
    </w:p>
    <w:p>
      <w:pPr>
        <w:spacing w:after="200" w:line="276" w:lineRule="auto"/>
        <w:rPr>
          <w:rFonts w:hint="eastAsia" w:ascii="宋体" w:hAnsi="宋体" w:eastAsia="宋体" w:cs="Times New Roman"/>
          <w:b/>
          <w:bCs/>
          <w:sz w:val="24"/>
          <w:szCs w:val="24"/>
        </w:rPr>
      </w:pPr>
      <w:r>
        <w:rPr>
          <w:rFonts w:hint="eastAsia" w:ascii="宋体" w:hAnsi="宋体" w:eastAsia="宋体" w:cs="Times New Roman"/>
          <w:b/>
          <w:bCs/>
          <w:sz w:val="24"/>
          <w:szCs w:val="24"/>
        </w:rPr>
        <w:t xml:space="preserve">一．选择题 </w:t>
      </w:r>
      <w:r>
        <w:rPr>
          <w:rFonts w:ascii="宋体" w:hAnsi="宋体" w:eastAsia="宋体" w:cs="Times New Roman"/>
          <w:b/>
          <w:bCs/>
          <w:sz w:val="24"/>
          <w:szCs w:val="24"/>
        </w:rPr>
        <w:t xml:space="preserve"> </w:t>
      </w:r>
      <w:r>
        <w:rPr>
          <w:rFonts w:hint="eastAsia" w:ascii="宋体" w:hAnsi="宋体" w:eastAsia="宋体" w:cs="Times New Roman"/>
          <w:b/>
          <w:bCs/>
          <w:sz w:val="24"/>
          <w:szCs w:val="24"/>
        </w:rPr>
        <w:t>1-5</w:t>
      </w:r>
      <w:r>
        <w:rPr>
          <w:rFonts w:ascii="宋体" w:hAnsi="宋体" w:eastAsia="宋体" w:cs="Times New Roman"/>
          <w:b/>
          <w:bCs/>
          <w:sz w:val="24"/>
          <w:szCs w:val="24"/>
        </w:rPr>
        <w:t>CDCDA 6-10CBCBA  11-15CBCCB  16-20ADDAA</w:t>
      </w:r>
    </w:p>
    <w:p>
      <w:pPr>
        <w:spacing w:line="240" w:lineRule="atLeast"/>
        <w:rPr>
          <w:rFonts w:ascii="宋体" w:hAnsi="宋体" w:eastAsia="宋体" w:cs="Times New Roman"/>
          <w:b/>
          <w:bCs/>
          <w:sz w:val="24"/>
          <w:szCs w:val="24"/>
        </w:rPr>
      </w:pPr>
      <w:r>
        <w:rPr>
          <w:rFonts w:hint="eastAsia" w:ascii="宋体" w:hAnsi="宋体" w:eastAsia="宋体" w:cs="Times New Roman"/>
          <w:b/>
          <w:bCs/>
          <w:sz w:val="24"/>
          <w:szCs w:val="24"/>
        </w:rPr>
        <w:t>二、非选择题</w:t>
      </w:r>
    </w:p>
    <w:p>
      <w:pPr>
        <w:spacing w:line="240" w:lineRule="atLeast"/>
        <w:rPr>
          <w:rFonts w:ascii="宋体" w:hAnsi="宋体" w:eastAsia="宋体" w:cs="Times New Roman"/>
          <w:sz w:val="24"/>
          <w:szCs w:val="24"/>
        </w:rPr>
      </w:pPr>
      <w:r>
        <w:rPr>
          <w:rFonts w:hint="eastAsia" w:ascii="宋体" w:hAnsi="宋体" w:eastAsia="宋体" w:cs="Times New Roman"/>
          <w:b/>
          <w:bCs/>
          <w:sz w:val="24"/>
          <w:szCs w:val="24"/>
        </w:rPr>
        <w:t>21</w:t>
      </w:r>
      <w:r>
        <w:rPr>
          <w:rFonts w:ascii="宋体" w:hAnsi="宋体" w:eastAsia="宋体" w:cs="Times New Roman"/>
          <w:b/>
          <w:bCs/>
          <w:sz w:val="24"/>
          <w:szCs w:val="24"/>
        </w:rPr>
        <w:t>.</w:t>
      </w:r>
      <w:r>
        <w:rPr>
          <w:rFonts w:hint="eastAsia" w:ascii="宋体" w:hAnsi="宋体" w:eastAsia="宋体" w:cs="Times New Roman"/>
          <w:b/>
          <w:bCs/>
          <w:sz w:val="24"/>
          <w:szCs w:val="24"/>
        </w:rPr>
        <w:t>（1）（6分）</w:t>
      </w:r>
      <w:r>
        <w:rPr>
          <w:rFonts w:hint="eastAsia" w:ascii="宋体" w:hAnsi="宋体" w:eastAsia="宋体" w:cs="Times New Roman"/>
          <w:sz w:val="24"/>
          <w:szCs w:val="24"/>
        </w:rPr>
        <w:t>①加强和改进党对国有企业的领导，全面依法治企，做强做优做大国有企业，不断增强国有经济竞争力、创新力、控制力、影响力、抗风险能力。</w:t>
      </w:r>
      <w:r>
        <w:rPr>
          <w:rFonts w:hint="eastAsia" w:ascii="宋体" w:hAnsi="宋体" w:eastAsia="宋体" w:cs="Times New Roman"/>
          <w:i/>
          <w:iCs/>
          <w:sz w:val="24"/>
          <w:szCs w:val="24"/>
        </w:rPr>
        <w:t>（2分）</w:t>
      </w:r>
      <w:r>
        <w:rPr>
          <w:rFonts w:hint="eastAsia" w:ascii="宋体" w:hAnsi="宋体" w:eastAsia="宋体" w:cs="Times New Roman"/>
          <w:sz w:val="24"/>
          <w:szCs w:val="24"/>
        </w:rPr>
        <w:t>②推进国有经济布局优化和结构调整，服务国家战略目标。</w:t>
      </w:r>
      <w:r>
        <w:rPr>
          <w:rFonts w:hint="eastAsia" w:ascii="宋体" w:hAnsi="宋体" w:eastAsia="宋体" w:cs="Times New Roman"/>
          <w:i/>
          <w:iCs/>
          <w:sz w:val="24"/>
          <w:szCs w:val="24"/>
        </w:rPr>
        <w:t>（2分）</w:t>
      </w:r>
      <w:r>
        <w:rPr>
          <w:rFonts w:hint="eastAsia" w:ascii="宋体" w:hAnsi="宋体" w:eastAsia="宋体" w:cs="Times New Roman"/>
          <w:sz w:val="24"/>
          <w:szCs w:val="24"/>
        </w:rPr>
        <w:t>③探索公有制多种实现形式，发展混合所有制经济，积极稳妥推进国有企业混合所有制改革。</w:t>
      </w:r>
      <w:bookmarkStart w:id="0" w:name="_Hlk60644294"/>
      <w:r>
        <w:rPr>
          <w:rFonts w:hint="eastAsia" w:ascii="宋体" w:hAnsi="宋体" w:eastAsia="宋体" w:cs="Times New Roman"/>
          <w:i/>
          <w:iCs/>
          <w:sz w:val="24"/>
          <w:szCs w:val="24"/>
        </w:rPr>
        <w:t>（2分）</w:t>
      </w:r>
      <w:bookmarkEnd w:id="0"/>
    </w:p>
    <w:p>
      <w:pPr>
        <w:spacing w:line="240" w:lineRule="atLeast"/>
        <w:rPr>
          <w:rFonts w:ascii="宋体" w:hAnsi="宋体" w:eastAsia="宋体" w:cs="Times New Roman"/>
          <w:sz w:val="24"/>
          <w:szCs w:val="24"/>
        </w:rPr>
      </w:pPr>
      <w:r>
        <w:rPr>
          <w:rFonts w:hint="eastAsia" w:ascii="宋体" w:hAnsi="宋体" w:eastAsia="宋体" w:cs="Times New Roman"/>
          <w:b/>
          <w:bCs/>
          <w:sz w:val="24"/>
          <w:szCs w:val="24"/>
        </w:rPr>
        <w:t>（2）（8分）</w:t>
      </w:r>
      <w:r>
        <w:rPr>
          <w:rFonts w:hint="eastAsia" w:ascii="宋体" w:hAnsi="宋体" w:eastAsia="宋体" w:cs="Times New Roman"/>
          <w:sz w:val="24"/>
          <w:szCs w:val="24"/>
        </w:rPr>
        <w:t>①我国坚持以公有制为主体、多种所有制经济共同发展的基本经济制度。民营经济是社会主义市场经济的重要组成部分，是我国经济社会发展的重要基础。</w:t>
      </w:r>
      <w:r>
        <w:rPr>
          <w:rFonts w:hint="eastAsia" w:ascii="宋体" w:hAnsi="宋体" w:eastAsia="宋体" w:cs="Times New Roman"/>
          <w:i/>
          <w:iCs/>
          <w:sz w:val="24"/>
          <w:szCs w:val="24"/>
        </w:rPr>
        <w:t>（3分）</w:t>
      </w:r>
      <w:r>
        <w:rPr>
          <w:rFonts w:hint="eastAsia" w:ascii="宋体" w:hAnsi="宋体" w:eastAsia="宋体" w:cs="Times New Roman"/>
          <w:sz w:val="24"/>
          <w:szCs w:val="24"/>
        </w:rPr>
        <w:t>②民营经济是稳定经济增长和改善民生的重要力量、创业就业的主要领域、技术创新的重要主体、国家税收的重要来源；支持民营企业改革发展有利于激发民间投资信心、促进社会投资稳定发展，有效应对经济下行压力。</w:t>
      </w:r>
      <w:r>
        <w:rPr>
          <w:rFonts w:hint="eastAsia" w:ascii="宋体" w:hAnsi="宋体" w:eastAsia="宋体" w:cs="Times New Roman"/>
          <w:i/>
          <w:iCs/>
          <w:sz w:val="24"/>
          <w:szCs w:val="24"/>
        </w:rPr>
        <w:t>（3分）</w:t>
      </w:r>
      <w:r>
        <w:rPr>
          <w:rFonts w:hint="eastAsia" w:ascii="宋体" w:hAnsi="宋体" w:eastAsia="宋体" w:cs="Times New Roman"/>
          <w:sz w:val="24"/>
          <w:szCs w:val="24"/>
        </w:rPr>
        <w:t>③新时代坚持和发展中国特色社会主义，必须毫不动摇鼓励、支持、引导非公有制经济发展，支持民营经济改革发展并非短期战略选择。</w:t>
      </w:r>
      <w:r>
        <w:rPr>
          <w:rFonts w:hint="eastAsia" w:ascii="宋体" w:hAnsi="宋体" w:eastAsia="宋体" w:cs="Times New Roman"/>
          <w:i/>
          <w:iCs/>
          <w:sz w:val="24"/>
          <w:szCs w:val="24"/>
        </w:rPr>
        <w:t>（2分）</w:t>
      </w:r>
    </w:p>
    <w:p>
      <w:pPr>
        <w:spacing w:line="240" w:lineRule="atLeast"/>
        <w:rPr>
          <w:rFonts w:ascii="宋体" w:hAnsi="宋体" w:eastAsia="宋体" w:cs="Times New Roman"/>
          <w:sz w:val="24"/>
          <w:szCs w:val="24"/>
        </w:rPr>
      </w:pPr>
    </w:p>
    <w:p>
      <w:pPr>
        <w:spacing w:line="240" w:lineRule="atLeast"/>
        <w:rPr>
          <w:rFonts w:ascii="宋体" w:hAnsi="宋体" w:eastAsia="宋体" w:cs="Times New Roman"/>
          <w:sz w:val="24"/>
          <w:szCs w:val="24"/>
        </w:rPr>
      </w:pPr>
      <w:r>
        <w:rPr>
          <w:rFonts w:hint="eastAsia" w:ascii="宋体" w:hAnsi="宋体" w:eastAsia="宋体" w:cs="Times New Roman"/>
          <w:b/>
          <w:bCs/>
          <w:sz w:val="24"/>
          <w:szCs w:val="24"/>
        </w:rPr>
        <w:t>22</w:t>
      </w:r>
      <w:r>
        <w:rPr>
          <w:rFonts w:ascii="宋体" w:hAnsi="宋体" w:eastAsia="宋体" w:cs="Times New Roman"/>
          <w:b/>
          <w:bCs/>
          <w:sz w:val="24"/>
          <w:szCs w:val="24"/>
        </w:rPr>
        <w:t>.</w:t>
      </w:r>
      <w:r>
        <w:rPr>
          <w:rFonts w:hint="eastAsia" w:ascii="宋体" w:hAnsi="宋体" w:eastAsia="宋体" w:cs="Times New Roman"/>
          <w:b/>
          <w:bCs/>
          <w:sz w:val="24"/>
          <w:szCs w:val="24"/>
        </w:rPr>
        <w:t>（8分）</w:t>
      </w:r>
      <w:r>
        <w:rPr>
          <w:rFonts w:hint="eastAsia" w:ascii="宋体" w:hAnsi="宋体" w:eastAsia="宋体" w:cs="Times New Roman"/>
          <w:sz w:val="24"/>
          <w:szCs w:val="24"/>
        </w:rPr>
        <w:t>①阿里巴巴制定了以自主创新为目的的正确的经营战略；</w:t>
      </w:r>
      <w:r>
        <w:rPr>
          <w:rFonts w:hint="eastAsia" w:ascii="宋体" w:hAnsi="宋体" w:eastAsia="宋体" w:cs="Times New Roman"/>
          <w:i/>
          <w:iCs/>
          <w:sz w:val="24"/>
          <w:szCs w:val="24"/>
        </w:rPr>
        <w:t>（2分）</w:t>
      </w:r>
      <w:r>
        <w:rPr>
          <w:rFonts w:hint="eastAsia" w:ascii="宋体" w:hAnsi="宋体" w:eastAsia="宋体" w:cs="Times New Roman"/>
          <w:sz w:val="24"/>
          <w:szCs w:val="24"/>
        </w:rPr>
        <w:t>②提高自主创新能力，依靠技术进步、科学管理等手段，形成自己的竞争优势；</w:t>
      </w:r>
      <w:bookmarkStart w:id="1" w:name="_Hlk60644423"/>
      <w:r>
        <w:rPr>
          <w:rFonts w:hint="eastAsia" w:ascii="宋体" w:hAnsi="宋体" w:eastAsia="宋体" w:cs="Times New Roman"/>
          <w:i/>
          <w:iCs/>
          <w:sz w:val="24"/>
          <w:szCs w:val="24"/>
        </w:rPr>
        <w:t>（2分）</w:t>
      </w:r>
      <w:bookmarkEnd w:id="1"/>
      <w:r>
        <w:rPr>
          <w:rFonts w:hint="eastAsia" w:ascii="宋体" w:hAnsi="宋体" w:eastAsia="宋体" w:cs="Times New Roman"/>
          <w:sz w:val="24"/>
          <w:szCs w:val="24"/>
        </w:rPr>
        <w:t>③诚信经营，树立企业良好的信誉形象；</w:t>
      </w:r>
      <w:r>
        <w:rPr>
          <w:rFonts w:hint="eastAsia" w:ascii="宋体" w:hAnsi="宋体" w:eastAsia="宋体" w:cs="Times New Roman"/>
          <w:i/>
          <w:iCs/>
          <w:sz w:val="24"/>
          <w:szCs w:val="24"/>
        </w:rPr>
        <w:t>（2分）</w:t>
      </w:r>
      <w:r>
        <w:rPr>
          <w:rFonts w:hint="eastAsia" w:ascii="宋体" w:hAnsi="宋体" w:eastAsia="宋体" w:cs="Times New Roman"/>
          <w:sz w:val="24"/>
          <w:szCs w:val="24"/>
        </w:rPr>
        <w:t>④实行“走出去”战略，积极利用国际、国内两个市场、两种资源，把企业做强做大。</w:t>
      </w:r>
      <w:r>
        <w:rPr>
          <w:rFonts w:hint="eastAsia" w:ascii="宋体" w:hAnsi="宋体" w:eastAsia="宋体" w:cs="Times New Roman"/>
          <w:i/>
          <w:iCs/>
          <w:sz w:val="24"/>
          <w:szCs w:val="24"/>
        </w:rPr>
        <w:t>（2分）</w:t>
      </w:r>
    </w:p>
    <w:p>
      <w:pPr>
        <w:spacing w:line="240" w:lineRule="atLeast"/>
        <w:rPr>
          <w:rFonts w:ascii="宋体" w:hAnsi="宋体" w:eastAsia="宋体" w:cs="Times New Roman"/>
          <w:sz w:val="24"/>
          <w:szCs w:val="24"/>
        </w:rPr>
      </w:pPr>
    </w:p>
    <w:p>
      <w:pPr>
        <w:spacing w:line="240" w:lineRule="atLeast"/>
        <w:rPr>
          <w:rFonts w:ascii="宋体" w:hAnsi="宋体" w:eastAsia="宋体" w:cs="Times New Roman"/>
          <w:sz w:val="24"/>
          <w:szCs w:val="24"/>
        </w:rPr>
      </w:pPr>
      <w:r>
        <w:rPr>
          <w:rFonts w:hint="eastAsia" w:ascii="宋体" w:hAnsi="宋体" w:eastAsia="宋体" w:cs="Times New Roman"/>
          <w:b/>
          <w:bCs/>
          <w:sz w:val="24"/>
          <w:szCs w:val="24"/>
        </w:rPr>
        <w:t>23</w:t>
      </w:r>
      <w:r>
        <w:rPr>
          <w:rFonts w:ascii="宋体" w:hAnsi="宋体" w:eastAsia="宋体" w:cs="Times New Roman"/>
          <w:b/>
          <w:bCs/>
          <w:sz w:val="24"/>
          <w:szCs w:val="24"/>
        </w:rPr>
        <w:t>.</w:t>
      </w:r>
      <w:r>
        <w:rPr>
          <w:rFonts w:hint="eastAsia" w:ascii="宋体" w:hAnsi="宋体" w:eastAsia="宋体" w:cs="Times New Roman"/>
          <w:b/>
          <w:bCs/>
          <w:sz w:val="24"/>
          <w:szCs w:val="24"/>
        </w:rPr>
        <w:t>（10分）</w:t>
      </w:r>
      <w:r>
        <w:rPr>
          <w:rFonts w:hint="eastAsia" w:ascii="宋体" w:hAnsi="宋体" w:eastAsia="宋体" w:cs="Times New Roman"/>
          <w:sz w:val="24"/>
          <w:szCs w:val="24"/>
        </w:rPr>
        <w:t>①建设现代市场体系要建立公平开放透明的市场规则，完善主要由市场决定价格的机制。</w:t>
      </w:r>
      <w:r>
        <w:rPr>
          <w:rFonts w:hint="eastAsia" w:ascii="宋体" w:hAnsi="宋体" w:eastAsia="宋体" w:cs="Times New Roman"/>
          <w:i/>
          <w:iCs/>
          <w:sz w:val="24"/>
          <w:szCs w:val="24"/>
        </w:rPr>
        <w:t>（4分）</w:t>
      </w:r>
      <w:r>
        <w:rPr>
          <w:rFonts w:hint="eastAsia" w:ascii="宋体" w:hAnsi="宋体" w:eastAsia="宋体" w:cs="Times New Roman"/>
          <w:sz w:val="24"/>
          <w:szCs w:val="24"/>
        </w:rPr>
        <w:t>②（建立公平开放透明的市场规则）要完善公平竞争制度，强化竞争政策基础地位，落实公平竞争审查制度，加强和改进反垄断和反不正当竞争执法。</w:t>
      </w:r>
      <w:r>
        <w:rPr>
          <w:rFonts w:hint="eastAsia" w:ascii="宋体" w:hAnsi="宋体" w:eastAsia="宋体" w:cs="Times New Roman"/>
          <w:i/>
          <w:iCs/>
          <w:sz w:val="24"/>
          <w:szCs w:val="24"/>
        </w:rPr>
        <w:t>（2分）</w:t>
      </w:r>
      <w:r>
        <w:rPr>
          <w:rFonts w:hint="eastAsia" w:ascii="宋体" w:hAnsi="宋体" w:eastAsia="宋体" w:cs="Times New Roman"/>
          <w:sz w:val="24"/>
          <w:szCs w:val="24"/>
        </w:rPr>
        <w:t>③要建立健全社会征信体系，褒扬诚信，惩戒失信。</w:t>
      </w:r>
      <w:r>
        <w:rPr>
          <w:rFonts w:hint="eastAsia" w:ascii="宋体" w:hAnsi="宋体" w:eastAsia="宋体" w:cs="Times New Roman"/>
          <w:i/>
          <w:iCs/>
          <w:sz w:val="24"/>
          <w:szCs w:val="24"/>
        </w:rPr>
        <w:t>（2分）</w:t>
      </w:r>
      <w:r>
        <w:rPr>
          <w:rFonts w:hint="eastAsia" w:ascii="宋体" w:hAnsi="宋体" w:eastAsia="宋体" w:cs="Times New Roman"/>
          <w:sz w:val="24"/>
          <w:szCs w:val="24"/>
        </w:rPr>
        <w:t>④要健全优胜劣汰市场化退出机制，从而实现市场准入畅通、市场开放有序、市场竞争充分、市场秩序规范。</w:t>
      </w:r>
      <w:r>
        <w:rPr>
          <w:rFonts w:hint="eastAsia" w:ascii="宋体" w:hAnsi="宋体" w:eastAsia="宋体" w:cs="Times New Roman"/>
          <w:i/>
          <w:iCs/>
          <w:sz w:val="24"/>
          <w:szCs w:val="24"/>
        </w:rPr>
        <w:t>（2分）</w:t>
      </w:r>
    </w:p>
    <w:p>
      <w:pPr>
        <w:spacing w:line="240" w:lineRule="atLeast"/>
        <w:rPr>
          <w:rFonts w:ascii="宋体" w:hAnsi="宋体" w:eastAsia="宋体" w:cs="Times New Roman"/>
          <w:sz w:val="24"/>
          <w:szCs w:val="24"/>
        </w:rPr>
      </w:pPr>
    </w:p>
    <w:p>
      <w:pPr>
        <w:spacing w:line="240" w:lineRule="atLeast"/>
        <w:rPr>
          <w:rFonts w:ascii="宋体" w:hAnsi="宋体" w:eastAsia="宋体" w:cs="Times New Roman"/>
          <w:sz w:val="24"/>
          <w:szCs w:val="24"/>
        </w:rPr>
      </w:pPr>
      <w:r>
        <w:rPr>
          <w:rFonts w:hint="eastAsia" w:ascii="宋体" w:hAnsi="宋体" w:eastAsia="宋体" w:cs="Times New Roman"/>
          <w:sz w:val="24"/>
          <w:szCs w:val="24"/>
        </w:rPr>
        <w:t>24</w:t>
      </w:r>
      <w:r>
        <w:rPr>
          <w:rFonts w:ascii="宋体" w:hAnsi="宋体" w:eastAsia="宋体" w:cs="Times New Roman"/>
          <w:sz w:val="24"/>
          <w:szCs w:val="24"/>
        </w:rPr>
        <w:t>.</w:t>
      </w:r>
      <w:r>
        <w:rPr>
          <w:rFonts w:hint="eastAsia" w:ascii="宋体" w:hAnsi="宋体" w:eastAsia="宋体" w:cs="Times New Roman"/>
          <w:sz w:val="24"/>
          <w:szCs w:val="24"/>
        </w:rPr>
        <w:t>（8分）①市场对资源配置起决定作用。供求关系变化可以引导企业调整生产，从而实现资源优化配置。巨大的老年服务市场空间吸引企业积极参与养老服务业的发展。</w:t>
      </w:r>
      <w:r>
        <w:rPr>
          <w:rFonts w:hint="eastAsia" w:ascii="宋体" w:hAnsi="宋体" w:eastAsia="宋体" w:cs="Times New Roman"/>
          <w:i/>
          <w:iCs/>
          <w:sz w:val="24"/>
          <w:szCs w:val="24"/>
        </w:rPr>
        <w:t>（4分）</w:t>
      </w:r>
      <w:r>
        <w:rPr>
          <w:rFonts w:hint="eastAsia" w:ascii="宋体" w:hAnsi="宋体" w:eastAsia="宋体" w:cs="Times New Roman"/>
          <w:sz w:val="24"/>
          <w:szCs w:val="24"/>
        </w:rPr>
        <w:t>②资源的优化配置离不开政府的宏观调控。政府运用财政政策等手段为养老服务提供支持，对养老服务业的发展起推动作用。</w:t>
      </w:r>
      <w:r>
        <w:rPr>
          <w:rFonts w:hint="eastAsia" w:ascii="宋体" w:hAnsi="宋体" w:eastAsia="宋体" w:cs="Times New Roman"/>
          <w:i/>
          <w:iCs/>
          <w:sz w:val="24"/>
          <w:szCs w:val="24"/>
        </w:rPr>
        <w:t>（4分）</w:t>
      </w:r>
    </w:p>
    <w:p>
      <w:pPr>
        <w:rPr>
          <w:spacing w:val="-1"/>
          <w:w w:val="99"/>
        </w:rPr>
      </w:pPr>
    </w:p>
    <w:sectPr>
      <w:pgSz w:w="11910" w:h="16840"/>
      <w:pgMar w:top="1460" w:right="840" w:bottom="1880" w:left="980" w:header="0" w:footer="168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E89278"/>
    <w:multiLevelType w:val="multilevel"/>
    <w:tmpl w:val="F0E89278"/>
    <w:lvl w:ilvl="0" w:tentative="0">
      <w:start w:val="1"/>
      <w:numFmt w:val="decimal"/>
      <w:lvlText w:val="（%1）"/>
      <w:lvlJc w:val="left"/>
      <w:pPr>
        <w:ind w:left="820" w:hanging="721"/>
        <w:jc w:val="left"/>
      </w:pPr>
      <w:rPr>
        <w:rFonts w:hint="default" w:ascii="宋体" w:hAnsi="宋体" w:eastAsia="宋体" w:cs="宋体"/>
        <w:b/>
        <w:bCs/>
        <w:spacing w:val="0"/>
        <w:w w:val="99"/>
        <w:sz w:val="24"/>
        <w:szCs w:val="24"/>
        <w:lang w:val="en-US" w:eastAsia="zh-CN" w:bidi="ar-SA"/>
      </w:rPr>
    </w:lvl>
    <w:lvl w:ilvl="1" w:tentative="0">
      <w:start w:val="0"/>
      <w:numFmt w:val="bullet"/>
      <w:lvlText w:val="•"/>
      <w:lvlJc w:val="left"/>
      <w:pPr>
        <w:ind w:left="1746" w:hanging="721"/>
      </w:pPr>
      <w:rPr>
        <w:rFonts w:hint="default"/>
        <w:lang w:val="en-US" w:eastAsia="zh-CN" w:bidi="ar-SA"/>
      </w:rPr>
    </w:lvl>
    <w:lvl w:ilvl="2" w:tentative="0">
      <w:start w:val="0"/>
      <w:numFmt w:val="bullet"/>
      <w:lvlText w:val="•"/>
      <w:lvlJc w:val="left"/>
      <w:pPr>
        <w:ind w:left="2673" w:hanging="721"/>
      </w:pPr>
      <w:rPr>
        <w:rFonts w:hint="default"/>
        <w:lang w:val="en-US" w:eastAsia="zh-CN" w:bidi="ar-SA"/>
      </w:rPr>
    </w:lvl>
    <w:lvl w:ilvl="3" w:tentative="0">
      <w:start w:val="0"/>
      <w:numFmt w:val="bullet"/>
      <w:lvlText w:val="•"/>
      <w:lvlJc w:val="left"/>
      <w:pPr>
        <w:ind w:left="3599" w:hanging="721"/>
      </w:pPr>
      <w:rPr>
        <w:rFonts w:hint="default"/>
        <w:lang w:val="en-US" w:eastAsia="zh-CN" w:bidi="ar-SA"/>
      </w:rPr>
    </w:lvl>
    <w:lvl w:ilvl="4" w:tentative="0">
      <w:start w:val="0"/>
      <w:numFmt w:val="bullet"/>
      <w:lvlText w:val="•"/>
      <w:lvlJc w:val="left"/>
      <w:pPr>
        <w:ind w:left="4526" w:hanging="721"/>
      </w:pPr>
      <w:rPr>
        <w:rFonts w:hint="default"/>
        <w:lang w:val="en-US" w:eastAsia="zh-CN" w:bidi="ar-SA"/>
      </w:rPr>
    </w:lvl>
    <w:lvl w:ilvl="5" w:tentative="0">
      <w:start w:val="0"/>
      <w:numFmt w:val="bullet"/>
      <w:lvlText w:val="•"/>
      <w:lvlJc w:val="left"/>
      <w:pPr>
        <w:ind w:left="5453" w:hanging="721"/>
      </w:pPr>
      <w:rPr>
        <w:rFonts w:hint="default"/>
        <w:lang w:val="en-US" w:eastAsia="zh-CN" w:bidi="ar-SA"/>
      </w:rPr>
    </w:lvl>
    <w:lvl w:ilvl="6" w:tentative="0">
      <w:start w:val="0"/>
      <w:numFmt w:val="bullet"/>
      <w:lvlText w:val="•"/>
      <w:lvlJc w:val="left"/>
      <w:pPr>
        <w:ind w:left="6379" w:hanging="721"/>
      </w:pPr>
      <w:rPr>
        <w:rFonts w:hint="default"/>
        <w:lang w:val="en-US" w:eastAsia="zh-CN" w:bidi="ar-SA"/>
      </w:rPr>
    </w:lvl>
    <w:lvl w:ilvl="7" w:tentative="0">
      <w:start w:val="0"/>
      <w:numFmt w:val="bullet"/>
      <w:lvlText w:val="•"/>
      <w:lvlJc w:val="left"/>
      <w:pPr>
        <w:ind w:left="7306" w:hanging="721"/>
      </w:pPr>
      <w:rPr>
        <w:rFonts w:hint="default"/>
        <w:lang w:val="en-US" w:eastAsia="zh-CN" w:bidi="ar-SA"/>
      </w:rPr>
    </w:lvl>
    <w:lvl w:ilvl="8" w:tentative="0">
      <w:start w:val="0"/>
      <w:numFmt w:val="bullet"/>
      <w:lvlText w:val="•"/>
      <w:lvlJc w:val="left"/>
      <w:pPr>
        <w:ind w:left="8233" w:hanging="721"/>
      </w:pPr>
      <w:rPr>
        <w:rFonts w:hint="default"/>
        <w:lang w:val="en-US" w:eastAsia="zh-CN" w:bidi="ar-SA"/>
      </w:rPr>
    </w:lvl>
  </w:abstractNum>
  <w:abstractNum w:abstractNumId="1">
    <w:nsid w:val="1C257C7B"/>
    <w:multiLevelType w:val="multilevel"/>
    <w:tmpl w:val="1C257C7B"/>
    <w:lvl w:ilvl="0" w:tentative="0">
      <w:start w:val="16"/>
      <w:numFmt w:val="decimal"/>
      <w:lvlText w:val="%1."/>
      <w:lvlJc w:val="left"/>
      <w:pPr>
        <w:ind w:left="580" w:hanging="362"/>
        <w:jc w:val="right"/>
      </w:pPr>
      <w:rPr>
        <w:rFonts w:hint="default" w:ascii="宋体" w:hAnsi="宋体" w:eastAsia="宋体" w:cs="宋体"/>
        <w:w w:val="100"/>
        <w:sz w:val="22"/>
        <w:szCs w:val="22"/>
        <w:lang w:val="en-US" w:eastAsia="zh-CN" w:bidi="ar-SA"/>
      </w:rPr>
    </w:lvl>
    <w:lvl w:ilvl="1" w:tentative="0">
      <w:start w:val="1"/>
      <w:numFmt w:val="upperLetter"/>
      <w:lvlText w:val="%2."/>
      <w:lvlJc w:val="left"/>
      <w:pPr>
        <w:ind w:left="941" w:hanging="361"/>
        <w:jc w:val="left"/>
      </w:pPr>
      <w:rPr>
        <w:rFonts w:hint="default" w:ascii="宋体" w:hAnsi="宋体" w:eastAsia="宋体" w:cs="宋体"/>
        <w:w w:val="100"/>
        <w:sz w:val="22"/>
        <w:szCs w:val="22"/>
        <w:lang w:val="en-US" w:eastAsia="zh-CN" w:bidi="ar-SA"/>
      </w:rPr>
    </w:lvl>
    <w:lvl w:ilvl="2" w:tentative="0">
      <w:start w:val="0"/>
      <w:numFmt w:val="bullet"/>
      <w:lvlText w:val="•"/>
      <w:lvlJc w:val="left"/>
      <w:pPr>
        <w:ind w:left="1956" w:hanging="361"/>
      </w:pPr>
      <w:rPr>
        <w:rFonts w:hint="default"/>
        <w:lang w:val="en-US" w:eastAsia="zh-CN" w:bidi="ar-SA"/>
      </w:rPr>
    </w:lvl>
    <w:lvl w:ilvl="3" w:tentative="0">
      <w:start w:val="0"/>
      <w:numFmt w:val="bullet"/>
      <w:lvlText w:val="•"/>
      <w:lvlJc w:val="left"/>
      <w:pPr>
        <w:ind w:left="2972" w:hanging="361"/>
      </w:pPr>
      <w:rPr>
        <w:rFonts w:hint="default"/>
        <w:lang w:val="en-US" w:eastAsia="zh-CN" w:bidi="ar-SA"/>
      </w:rPr>
    </w:lvl>
    <w:lvl w:ilvl="4" w:tentative="0">
      <w:start w:val="0"/>
      <w:numFmt w:val="bullet"/>
      <w:lvlText w:val="•"/>
      <w:lvlJc w:val="left"/>
      <w:pPr>
        <w:ind w:left="3988" w:hanging="361"/>
      </w:pPr>
      <w:rPr>
        <w:rFonts w:hint="default"/>
        <w:lang w:val="en-US" w:eastAsia="zh-CN" w:bidi="ar-SA"/>
      </w:rPr>
    </w:lvl>
    <w:lvl w:ilvl="5" w:tentative="0">
      <w:start w:val="0"/>
      <w:numFmt w:val="bullet"/>
      <w:lvlText w:val="•"/>
      <w:lvlJc w:val="left"/>
      <w:pPr>
        <w:ind w:left="5005" w:hanging="361"/>
      </w:pPr>
      <w:rPr>
        <w:rFonts w:hint="default"/>
        <w:lang w:val="en-US" w:eastAsia="zh-CN" w:bidi="ar-SA"/>
      </w:rPr>
    </w:lvl>
    <w:lvl w:ilvl="6" w:tentative="0">
      <w:start w:val="0"/>
      <w:numFmt w:val="bullet"/>
      <w:lvlText w:val="•"/>
      <w:lvlJc w:val="left"/>
      <w:pPr>
        <w:ind w:left="6021" w:hanging="361"/>
      </w:pPr>
      <w:rPr>
        <w:rFonts w:hint="default"/>
        <w:lang w:val="en-US" w:eastAsia="zh-CN" w:bidi="ar-SA"/>
      </w:rPr>
    </w:lvl>
    <w:lvl w:ilvl="7" w:tentative="0">
      <w:start w:val="0"/>
      <w:numFmt w:val="bullet"/>
      <w:lvlText w:val="•"/>
      <w:lvlJc w:val="left"/>
      <w:pPr>
        <w:ind w:left="7037" w:hanging="361"/>
      </w:pPr>
      <w:rPr>
        <w:rFonts w:hint="default"/>
        <w:lang w:val="en-US" w:eastAsia="zh-CN" w:bidi="ar-SA"/>
      </w:rPr>
    </w:lvl>
    <w:lvl w:ilvl="8" w:tentative="0">
      <w:start w:val="0"/>
      <w:numFmt w:val="bullet"/>
      <w:lvlText w:val="•"/>
      <w:lvlJc w:val="left"/>
      <w:pPr>
        <w:ind w:left="8053" w:hanging="361"/>
      </w:pPr>
      <w:rPr>
        <w:rFonts w:hint="default"/>
        <w:lang w:val="en-US" w:eastAsia="zh-CN" w:bidi="ar-SA"/>
      </w:rPr>
    </w:lvl>
  </w:abstractNum>
  <w:abstractNum w:abstractNumId="2">
    <w:nsid w:val="32A7AF2D"/>
    <w:multiLevelType w:val="multilevel"/>
    <w:tmpl w:val="32A7AF2D"/>
    <w:lvl w:ilvl="0" w:tentative="0">
      <w:start w:val="1"/>
      <w:numFmt w:val="decimal"/>
      <w:lvlText w:val="%1."/>
      <w:lvlJc w:val="left"/>
      <w:pPr>
        <w:ind w:left="461" w:hanging="362"/>
        <w:jc w:val="left"/>
      </w:pPr>
      <w:rPr>
        <w:rFonts w:hint="default"/>
        <w:w w:val="100"/>
        <w:lang w:val="en-US" w:eastAsia="zh-CN" w:bidi="ar-SA"/>
      </w:rPr>
    </w:lvl>
    <w:lvl w:ilvl="1" w:tentative="0">
      <w:start w:val="0"/>
      <w:numFmt w:val="bullet"/>
      <w:lvlText w:val="•"/>
      <w:lvlJc w:val="left"/>
      <w:pPr>
        <w:ind w:left="580" w:hanging="362"/>
      </w:pPr>
      <w:rPr>
        <w:rFonts w:hint="default"/>
        <w:lang w:val="en-US" w:eastAsia="zh-CN" w:bidi="ar-SA"/>
      </w:rPr>
    </w:lvl>
    <w:lvl w:ilvl="2" w:tentative="0">
      <w:start w:val="0"/>
      <w:numFmt w:val="bullet"/>
      <w:lvlText w:val="•"/>
      <w:lvlJc w:val="left"/>
      <w:pPr>
        <w:ind w:left="1636" w:hanging="362"/>
      </w:pPr>
      <w:rPr>
        <w:rFonts w:hint="default"/>
        <w:lang w:val="en-US" w:eastAsia="zh-CN" w:bidi="ar-SA"/>
      </w:rPr>
    </w:lvl>
    <w:lvl w:ilvl="3" w:tentative="0">
      <w:start w:val="0"/>
      <w:numFmt w:val="bullet"/>
      <w:lvlText w:val="•"/>
      <w:lvlJc w:val="left"/>
      <w:pPr>
        <w:ind w:left="2692" w:hanging="362"/>
      </w:pPr>
      <w:rPr>
        <w:rFonts w:hint="default"/>
        <w:lang w:val="en-US" w:eastAsia="zh-CN" w:bidi="ar-SA"/>
      </w:rPr>
    </w:lvl>
    <w:lvl w:ilvl="4" w:tentative="0">
      <w:start w:val="0"/>
      <w:numFmt w:val="bullet"/>
      <w:lvlText w:val="•"/>
      <w:lvlJc w:val="left"/>
      <w:pPr>
        <w:ind w:left="3748" w:hanging="362"/>
      </w:pPr>
      <w:rPr>
        <w:rFonts w:hint="default"/>
        <w:lang w:val="en-US" w:eastAsia="zh-CN" w:bidi="ar-SA"/>
      </w:rPr>
    </w:lvl>
    <w:lvl w:ilvl="5" w:tentative="0">
      <w:start w:val="0"/>
      <w:numFmt w:val="bullet"/>
      <w:lvlText w:val="•"/>
      <w:lvlJc w:val="left"/>
      <w:pPr>
        <w:ind w:left="4805" w:hanging="362"/>
      </w:pPr>
      <w:rPr>
        <w:rFonts w:hint="default"/>
        <w:lang w:val="en-US" w:eastAsia="zh-CN" w:bidi="ar-SA"/>
      </w:rPr>
    </w:lvl>
    <w:lvl w:ilvl="6" w:tentative="0">
      <w:start w:val="0"/>
      <w:numFmt w:val="bullet"/>
      <w:lvlText w:val="•"/>
      <w:lvlJc w:val="left"/>
      <w:pPr>
        <w:ind w:left="5861" w:hanging="362"/>
      </w:pPr>
      <w:rPr>
        <w:rFonts w:hint="default"/>
        <w:lang w:val="en-US" w:eastAsia="zh-CN" w:bidi="ar-SA"/>
      </w:rPr>
    </w:lvl>
    <w:lvl w:ilvl="7" w:tentative="0">
      <w:start w:val="0"/>
      <w:numFmt w:val="bullet"/>
      <w:lvlText w:val="•"/>
      <w:lvlJc w:val="left"/>
      <w:pPr>
        <w:ind w:left="6917" w:hanging="362"/>
      </w:pPr>
      <w:rPr>
        <w:rFonts w:hint="default"/>
        <w:lang w:val="en-US" w:eastAsia="zh-CN" w:bidi="ar-SA"/>
      </w:rPr>
    </w:lvl>
    <w:lvl w:ilvl="8" w:tentative="0">
      <w:start w:val="0"/>
      <w:numFmt w:val="bullet"/>
      <w:lvlText w:val="•"/>
      <w:lvlJc w:val="left"/>
      <w:pPr>
        <w:ind w:left="7973" w:hanging="362"/>
      </w:pPr>
      <w:rPr>
        <w:rFonts w:hint="default"/>
        <w:lang w:val="en-US" w:eastAsia="zh-CN"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662B60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100"/>
      <w:outlineLvl w:val="1"/>
    </w:pPr>
    <w:rPr>
      <w:rFonts w:ascii="宋体" w:hAnsi="宋体" w:eastAsia="宋体" w:cs="宋体"/>
      <w:b/>
      <w:bCs/>
      <w:sz w:val="24"/>
      <w:szCs w:val="24"/>
      <w:lang w:val="en-US" w:eastAsia="zh-CN" w:bidi="ar-SA"/>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80"/>
    </w:pPr>
    <w:rPr>
      <w:rFonts w:ascii="宋体" w:hAnsi="宋体" w:eastAsia="宋体" w:cs="宋体"/>
      <w:sz w:val="24"/>
      <w:szCs w:val="24"/>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 w:type="paragraph" w:styleId="5">
    <w:name w:val="Title"/>
    <w:basedOn w:val="1"/>
    <w:qFormat/>
    <w:uiPriority w:val="1"/>
    <w:pPr>
      <w:spacing w:before="30"/>
      <w:ind w:left="2885" w:right="3020"/>
      <w:jc w:val="center"/>
    </w:pPr>
    <w:rPr>
      <w:rFonts w:ascii="黑体" w:hAnsi="黑体" w:eastAsia="黑体" w:cs="黑体"/>
      <w:b/>
      <w:bCs/>
      <w:sz w:val="36"/>
      <w:szCs w:val="36"/>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580" w:hanging="481"/>
    </w:pPr>
    <w:rPr>
      <w:rFonts w:ascii="宋体" w:hAnsi="宋体" w:eastAsia="宋体" w:cs="宋体"/>
      <w:lang w:val="en-US" w:eastAsia="zh-CN" w:bidi="ar-SA"/>
    </w:rPr>
  </w:style>
  <w:style w:type="paragraph" w:customStyle="1" w:styleId="10">
    <w:name w:val="Table Paragraph"/>
    <w:basedOn w:val="1"/>
    <w:qFormat/>
    <w:uiPriority w:val="1"/>
    <w:pPr>
      <w:spacing w:before="2"/>
      <w:ind w:left="85"/>
      <w:jc w:val="center"/>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dcterms:created xsi:type="dcterms:W3CDTF">2021-01-11T16:40:00Z</dcterms:created>
  <dcterms:modified xsi:type="dcterms:W3CDTF">2021-01-11T08:42:29Z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y fmtid="{D5CDD505-2E9C-101B-9397-08002B2CF9AE}" pid="3" name="LastSaved">
    <vt:filetime>2021-01-11T00:00:00Z</vt:filetime>
  </property>
  <property fmtid="{D5CDD505-2E9C-101B-9397-08002B2CF9AE}" pid="4" name="KSOProductBuildVer">
    <vt:lpwstr>2052-11.1.0.10228</vt:lpwstr>
  </property>
</Properties>
</file>