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FFFFFF" w:themeColor="background1"/>
          <w:sz w:val="22"/>
          <w:szCs w:val="28"/>
          <w:highlight w:val="black"/>
          <w14:textFill>
            <w14:solidFill>
              <w14:schemeClr w14:val="bg1"/>
            </w14:solidFill>
          </w14:textFill>
        </w:rPr>
      </w:pPr>
      <w:r>
        <w:rPr>
          <w:rFonts w:hint="eastAsia" w:ascii="黑体" w:hAnsi="黑体" w:eastAsia="黑体" w:cs="黑体"/>
          <w:color w:val="FFFFFF" w:themeColor="background1"/>
          <w:sz w:val="22"/>
          <w:szCs w:val="28"/>
          <w:highlight w:val="black"/>
          <w14:textFill>
            <w14:solidFill>
              <w14:schemeClr w14:val="bg1"/>
            </w14:solidFill>
          </w14:textFill>
        </w:rPr>
        <w:t>★秘密·2021年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5</w:t>
      </w:r>
      <w:r>
        <w:rPr>
          <w:rFonts w:hint="eastAsia" w:ascii="黑体" w:hAnsi="黑体" w:eastAsia="黑体" w:cs="黑体"/>
          <w:color w:val="FFFFFF" w:themeColor="background1"/>
          <w:sz w:val="22"/>
          <w:szCs w:val="28"/>
          <w:highlight w:val="black"/>
          <w14:textFill>
            <w14:solidFill>
              <w14:schemeClr w14:val="bg1"/>
            </w14:solidFill>
          </w14:textFill>
        </w:rPr>
        <w:t>日1</w:t>
      </w:r>
      <w:r>
        <w:rPr>
          <w:rFonts w:ascii="黑体" w:hAnsi="黑体" w:eastAsia="黑体" w:cs="黑体"/>
          <w:color w:val="FFFFFF" w:themeColor="background1"/>
          <w:sz w:val="22"/>
          <w:szCs w:val="28"/>
          <w:highlight w:val="black"/>
          <w14:textFill>
            <w14:solidFill>
              <w14:schemeClr w14:val="bg1"/>
            </w14:solidFill>
          </w14:textFill>
        </w:rPr>
        <w:t>5</w:t>
      </w:r>
      <w:r>
        <w:rPr>
          <w:rFonts w:hint="eastAsia" w:ascii="黑体" w:hAnsi="黑体" w:eastAsia="黑体" w:cs="黑体"/>
          <w:color w:val="FFFFFF" w:themeColor="background1"/>
          <w:sz w:val="22"/>
          <w:szCs w:val="28"/>
          <w:highlight w:val="black"/>
          <w14:textFill>
            <w14:solidFill>
              <w14:schemeClr w14:val="bg1"/>
            </w14:solidFill>
          </w14:textFill>
        </w:rPr>
        <w:t>：</w:t>
      </w:r>
      <w:r>
        <w:rPr>
          <w:rFonts w:ascii="黑体" w:hAnsi="黑体" w:eastAsia="黑体" w:cs="黑体"/>
          <w:color w:val="FFFFFF" w:themeColor="background1"/>
          <w:sz w:val="22"/>
          <w:szCs w:val="28"/>
          <w:highlight w:val="black"/>
          <w14:textFill>
            <w14:solidFill>
              <w14:schemeClr w14:val="bg1"/>
            </w14:solidFill>
          </w14:textFill>
        </w:rPr>
        <w:t>4</w:t>
      </w:r>
      <w:r>
        <w:rPr>
          <w:rFonts w:hint="eastAsia" w:ascii="黑体" w:hAnsi="黑体" w:eastAsia="黑体" w:cs="黑体"/>
          <w:color w:val="FFFFFF" w:themeColor="background1"/>
          <w:sz w:val="22"/>
          <w:szCs w:val="28"/>
          <w:highlight w:val="black"/>
          <w14:textFill>
            <w14:solidFill>
              <w14:schemeClr w14:val="bg1"/>
            </w14:solidFill>
          </w14:textFill>
        </w:rPr>
        <w:t>5前</w:t>
      </w:r>
    </w:p>
    <w:p>
      <w:pPr>
        <w:jc w:val="center"/>
        <w:rPr>
          <w:rFonts w:ascii="黑体" w:hAnsi="黑体" w:eastAsia="黑体" w:cs="黑体"/>
          <w:sz w:val="36"/>
          <w:szCs w:val="44"/>
        </w:rPr>
      </w:pPr>
      <w:r>
        <w:rPr>
          <w:rFonts w:hint="eastAsia" w:ascii="黑体" w:hAnsi="黑体" w:eastAsia="黑体" w:cs="黑体"/>
          <w:sz w:val="36"/>
          <w:szCs w:val="44"/>
        </w:rPr>
        <w:t>重庆市202</w:t>
      </w:r>
      <w:r>
        <w:rPr>
          <w:rFonts w:ascii="黑体" w:hAnsi="黑体" w:eastAsia="黑体" w:cs="黑体"/>
          <w:sz w:val="36"/>
          <w:szCs w:val="44"/>
        </w:rPr>
        <w:t>1</w:t>
      </w:r>
      <w:r>
        <w:rPr>
          <w:rFonts w:hint="eastAsia" w:ascii="黑体" w:hAnsi="黑体" w:eastAsia="黑体" w:cs="黑体"/>
          <w:sz w:val="36"/>
          <w:szCs w:val="44"/>
        </w:rPr>
        <w:t>-202</w:t>
      </w:r>
      <w:r>
        <w:rPr>
          <w:rFonts w:ascii="黑体" w:hAnsi="黑体" w:eastAsia="黑体" w:cs="黑体"/>
          <w:sz w:val="36"/>
          <w:szCs w:val="44"/>
        </w:rPr>
        <w:t>2</w:t>
      </w:r>
      <w:r>
        <w:rPr>
          <w:rFonts w:hint="eastAsia" w:ascii="黑体" w:hAnsi="黑体" w:eastAsia="黑体" w:cs="黑体"/>
          <w:sz w:val="36"/>
          <w:szCs w:val="44"/>
        </w:rPr>
        <w:t>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sz w:val="44"/>
        </w:rPr>
        <mc:AlternateContent>
          <mc:Choice Requires="wps">
            <w:drawing>
              <wp:anchor distT="0" distB="0" distL="114300" distR="114300" simplePos="0" relativeHeight="251658240" behindDoc="0" locked="0" layoutInCell="1" allowOverlap="1">
                <wp:simplePos x="0" y="0"/>
                <wp:positionH relativeFrom="column">
                  <wp:posOffset>5200015</wp:posOffset>
                </wp:positionH>
                <wp:positionV relativeFrom="paragraph">
                  <wp:posOffset>83185</wp:posOffset>
                </wp:positionV>
                <wp:extent cx="1038225" cy="409575"/>
                <wp:effectExtent l="0" t="0" r="9525" b="9525"/>
                <wp:wrapNone/>
                <wp:docPr id="2" name="文本框 2"/>
                <wp:cNvGraphicFramePr/>
                <a:graphic xmlns:a="http://schemas.openxmlformats.org/drawingml/2006/main">
                  <a:graphicData uri="http://schemas.microsoft.com/office/word/2010/wordprocessingShape">
                    <wps:wsp>
                      <wps:cNvSpPr txBox="1"/>
                      <wps:spPr>
                        <a:xfrm>
                          <a:off x="5361940" y="1572895"/>
                          <a:ext cx="1038225" cy="409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2021.0</w:t>
                            </w:r>
                            <w:r>
                              <w:t>9</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409.45pt;margin-top:6.55pt;height:32.25pt;width:81.75pt;z-index:251658240;mso-width-relative:page;mso-height-relative:page;" fillcolor="#FFFFFF [3201]" filled="t" stroked="f" coordsize="21600,21600" o:gfxdata="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MC81QAAAAkB&#10;AAAPAAAAAAAAAAEAIAAAACIAAABkcnMvZG93bnJldi54bWxQSwECFAAUAAAACACHTuJAh41I8x4C&#10;AAD/AwAADgAAAAAAAAABACAAAAAkAQAAZHJzL2Uyb0RvYy54bWxQSwUGAAAAAAYABgBZAQAAtAUA&#10;AAAA&#10;">
                <v:fill on="t" focussize="0,0"/>
                <v:stroke on="f" weight="0.5pt"/>
                <v:imagedata o:title=""/>
                <o:lock v:ext="edit" aspectratio="f"/>
                <v:textbox>
                  <w:txbxContent>
                    <w:p>
                      <w:r>
                        <w:rPr>
                          <w:rFonts w:hint="eastAsia"/>
                        </w:rPr>
                        <w:t>2021.0</w:t>
                      </w:r>
                      <w:r>
                        <w:t>9</w:t>
                      </w:r>
                    </w:p>
                  </w:txbxContent>
                </v:textbox>
              </v:shape>
            </w:pict>
          </mc:Fallback>
        </mc:AlternateContent>
      </w:r>
      <w:r>
        <w:rPr>
          <w:rFonts w:hint="eastAsia" w:ascii="黑体" w:hAnsi="黑体" w:eastAsia="黑体" w:cs="黑体"/>
          <w:b/>
          <w:bCs/>
          <w:sz w:val="44"/>
          <w:szCs w:val="52"/>
        </w:rPr>
        <w:t>高三思想政治</w:t>
      </w:r>
    </w:p>
    <w:p>
      <w:pPr>
        <w:jc w:val="center"/>
        <w:rPr>
          <w:rFonts w:ascii="宋体" w:hAnsi="宋体" w:eastAsia="宋体" w:cs="宋体"/>
          <w:sz w:val="24"/>
          <w:szCs w:val="32"/>
        </w:rPr>
      </w:pPr>
    </w:p>
    <w:p>
      <w:pPr>
        <w:rPr>
          <w:rFonts w:ascii="黑体" w:hAnsi="黑体" w:eastAsia="黑体" w:cs="黑体"/>
          <w:sz w:val="22"/>
          <w:szCs w:val="28"/>
        </w:rPr>
      </w:pPr>
    </w:p>
    <w:p>
      <w:pPr>
        <w:rPr>
          <w:rFonts w:ascii="黑体" w:hAnsi="黑体" w:eastAsia="黑体" w:cs="黑体"/>
          <w:sz w:val="22"/>
          <w:szCs w:val="28"/>
        </w:rPr>
      </w:pPr>
      <w:r>
        <w:rPr>
          <w:rFonts w:hint="eastAsia" w:ascii="黑体" w:hAnsi="黑体" w:eastAsia="黑体" w:cs="黑体"/>
          <w:sz w:val="22"/>
          <w:szCs w:val="28"/>
        </w:rPr>
        <w:t>注意事项：</w:t>
      </w:r>
    </w:p>
    <w:p>
      <w:pPr>
        <w:ind w:firstLine="480"/>
        <w:rPr>
          <w:rFonts w:ascii="黑体" w:hAnsi="黑体" w:eastAsia="黑体" w:cs="黑体"/>
          <w:sz w:val="22"/>
          <w:szCs w:val="28"/>
        </w:rPr>
      </w:pPr>
      <w:r>
        <w:rPr>
          <w:rFonts w:hint="eastAsia" w:ascii="黑体" w:hAnsi="黑体" w:eastAsia="黑体" w:cs="黑体"/>
          <w:sz w:val="22"/>
          <w:szCs w:val="28"/>
        </w:rPr>
        <w:t>1.答题前，考生务必用黑色签字笔将自己的姓名、准考证号、座位号在答题卡上填写清楚；</w:t>
      </w:r>
    </w:p>
    <w:p>
      <w:pPr>
        <w:ind w:firstLine="480"/>
        <w:rPr>
          <w:rFonts w:ascii="黑体" w:hAnsi="黑体" w:eastAsia="黑体" w:cs="黑体"/>
          <w:sz w:val="22"/>
          <w:szCs w:val="28"/>
        </w:rPr>
      </w:pPr>
      <w:r>
        <w:rPr>
          <w:rFonts w:hint="eastAsia" w:ascii="黑体" w:hAnsi="黑体" w:eastAsia="黑体" w:cs="黑体"/>
          <w:sz w:val="22"/>
          <w:szCs w:val="28"/>
        </w:rPr>
        <w:t>2.每小题选出答案后，用2B铅笔把答题卡上对应题目的答案标号涂黑，在试卷上作答无效；</w:t>
      </w:r>
    </w:p>
    <w:p>
      <w:pPr>
        <w:ind w:firstLine="480"/>
        <w:rPr>
          <w:rFonts w:ascii="黑体" w:hAnsi="黑体" w:eastAsia="黑体" w:cs="黑体"/>
          <w:sz w:val="22"/>
          <w:szCs w:val="28"/>
        </w:rPr>
      </w:pPr>
      <w:r>
        <w:rPr>
          <w:rFonts w:hint="eastAsia" w:ascii="黑体" w:hAnsi="黑体" w:eastAsia="黑体" w:cs="黑体"/>
          <w:sz w:val="22"/>
          <w:szCs w:val="28"/>
        </w:rPr>
        <w:t>3.考试结束后，请将本试卷和答题卡一并交回；</w:t>
      </w:r>
    </w:p>
    <w:p>
      <w:pPr>
        <w:ind w:firstLine="480"/>
        <w:rPr>
          <w:rFonts w:ascii="黑体" w:hAnsi="黑体" w:eastAsia="黑体" w:cs="黑体"/>
          <w:sz w:val="22"/>
          <w:szCs w:val="28"/>
        </w:rPr>
      </w:pPr>
      <w:r>
        <w:rPr>
          <w:rFonts w:hint="eastAsia" w:ascii="黑体" w:hAnsi="黑体" w:eastAsia="黑体" w:cs="黑体"/>
          <w:sz w:val="22"/>
          <w:szCs w:val="28"/>
        </w:rPr>
        <w:t>4.全卷共5页，满分100分，考试时间75分钟。</w:t>
      </w:r>
    </w:p>
    <w:p>
      <w:pPr>
        <w:rPr>
          <w:rFonts w:ascii="黑体" w:hAnsi="黑体" w:eastAsia="黑体" w:cs="黑体"/>
          <w:sz w:val="24"/>
          <w:szCs w:val="32"/>
        </w:rPr>
      </w:pPr>
    </w:p>
    <w:p>
      <w:pPr>
        <w:rPr>
          <w:rFonts w:ascii="黑体" w:hAnsi="黑体" w:eastAsia="黑体" w:cs="黑体"/>
          <w:sz w:val="24"/>
          <w:szCs w:val="32"/>
        </w:rPr>
      </w:pPr>
      <w:r>
        <w:rPr>
          <w:rFonts w:hint="eastAsia" w:ascii="黑体" w:hAnsi="黑体" w:eastAsia="黑体" w:cs="黑体"/>
          <w:sz w:val="24"/>
          <w:szCs w:val="32"/>
        </w:rPr>
        <w:t>一、选择题（共15小题，每小题3分，满分45分）</w:t>
      </w:r>
    </w:p>
    <w:p>
      <w:pPr>
        <w:ind w:left="220" w:hanging="220" w:hangingChars="100"/>
        <w:rPr>
          <w:rFonts w:asciiTheme="minorEastAsia" w:hAnsiTheme="minorEastAsia"/>
        </w:rPr>
      </w:pPr>
      <w:r>
        <w:rPr>
          <w:rFonts w:hint="eastAsia" w:cs="宋体" w:asciiTheme="minorEastAsia" w:hAnsiTheme="minorEastAsia"/>
          <w:sz w:val="22"/>
          <w:szCs w:val="28"/>
        </w:rPr>
        <w:t>1.</w:t>
      </w:r>
      <w:r>
        <w:rPr>
          <w:rFonts w:hint="eastAsia" w:asciiTheme="minorEastAsia" w:hAnsiTheme="minorEastAsia"/>
        </w:rPr>
        <w:t>近年来，重庆市北碚区东升村通过土地流转、务工带动及入股分红等多种方式打造稻田农耕等大型产业基地，带村民增收致富。同时用艺术设计打造美丽乡村，以农耕文化为元素，打造了“柳门竹巷”艺术院落、“稻香故园”艺术稻田、“童话工坊”艺术工坊、星光艺术步道、乡村美术馆等设施，让艺术设计元素遍布村庄。根据材料信息，不考虑他因素，东升村经济振兴的路径是</w:t>
      </w:r>
    </w:p>
    <w:p>
      <w:pPr>
        <w:ind w:left="210" w:leftChars="100"/>
        <w:rPr>
          <w:rFonts w:asciiTheme="minorEastAsia" w:hAnsiTheme="minorEastAsia"/>
        </w:rPr>
      </w:pPr>
      <w:r>
        <w:rPr>
          <w:rFonts w:hint="eastAsia" w:asciiTheme="minorEastAsia" w:hAnsiTheme="minorEastAsia"/>
        </w:rPr>
        <w:t>①保障农民土地所有权 ②村民收入提高 ③促进乡村振兴 ④优化升级产业结构 ⑤整合乡村资源 ⑥助力乡风文明</w:t>
      </w:r>
    </w:p>
    <w:p>
      <w:pPr>
        <w:ind w:left="210" w:leftChars="100"/>
        <w:rPr>
          <w:rFonts w:asciiTheme="minorEastAsia" w:hAnsiTheme="minorEastAsia"/>
        </w:rPr>
      </w:pPr>
      <w:r>
        <w:rPr>
          <w:rFonts w:hint="eastAsia" w:asciiTheme="minorEastAsia" w:hAnsiTheme="minorEastAsia"/>
        </w:rPr>
        <w:t>A．①→②→⑤→③</w:t>
      </w:r>
      <w:r>
        <w:rPr>
          <w:rFonts w:asciiTheme="minorEastAsia" w:hAnsiTheme="minorEastAsia"/>
        </w:rPr>
        <w:tab/>
      </w:r>
      <w:r>
        <w:rPr>
          <w:rFonts w:asciiTheme="minorEastAsia" w:hAnsiTheme="minorEastAsia"/>
        </w:rPr>
        <w:tab/>
      </w:r>
      <w:r>
        <w:rPr>
          <w:rFonts w:hint="eastAsia" w:asciiTheme="minorEastAsia" w:hAnsiTheme="minorEastAsia"/>
        </w:rPr>
        <w:t>B．①→②→⑤→④</w:t>
      </w:r>
      <w:r>
        <w:rPr>
          <w:rFonts w:asciiTheme="minorEastAsia" w:hAnsiTheme="minorEastAsia"/>
        </w:rPr>
        <w:tab/>
      </w:r>
      <w:r>
        <w:rPr>
          <w:rFonts w:asciiTheme="minorEastAsia" w:hAnsiTheme="minorEastAsia"/>
        </w:rPr>
        <w:tab/>
      </w:r>
      <w:r>
        <w:rPr>
          <w:rFonts w:hint="eastAsia" w:asciiTheme="minorEastAsia" w:hAnsiTheme="minorEastAsia"/>
        </w:rPr>
        <w:t>C．⑤→②→④→⑥</w:t>
      </w:r>
      <w:r>
        <w:rPr>
          <w:rFonts w:asciiTheme="minorEastAsia" w:hAnsiTheme="minorEastAsia"/>
        </w:rPr>
        <w:tab/>
      </w:r>
      <w:r>
        <w:rPr>
          <w:rFonts w:asciiTheme="minorEastAsia" w:hAnsiTheme="minorEastAsia"/>
        </w:rPr>
        <w:tab/>
      </w:r>
      <w:r>
        <w:rPr>
          <w:rFonts w:hint="eastAsia" w:asciiTheme="minorEastAsia" w:hAnsiTheme="minorEastAsia"/>
        </w:rPr>
        <w:t>D．⑤→④→②→③</w:t>
      </w:r>
    </w:p>
    <w:p>
      <w:pPr>
        <w:ind w:left="210" w:hanging="210" w:hangingChars="100"/>
        <w:rPr>
          <w:rFonts w:asciiTheme="minorEastAsia" w:hAnsiTheme="minorEastAsia"/>
        </w:rPr>
      </w:pPr>
      <w:r>
        <w:rPr>
          <w:rFonts w:hint="eastAsia" w:asciiTheme="minorEastAsia" w:hAnsiTheme="minorEastAsia"/>
        </w:rPr>
        <w:t>2</w:t>
      </w:r>
      <w:r>
        <w:rPr>
          <w:rFonts w:asciiTheme="minorEastAsia" w:hAnsiTheme="minorEastAsia"/>
        </w:rPr>
        <w:t>.</w:t>
      </w:r>
      <w:r>
        <w:rPr>
          <w:rFonts w:hint="eastAsia" w:asciiTheme="minorEastAsia" w:hAnsiTheme="minorEastAsia"/>
        </w:rPr>
        <w:t>个人破产制度,是指自然人不能清偿到期债务时,可通过法定程序宣告破产,破产程序完成之后,对创业者未能清偿的债务进行豁免的一种法律制度。破产人如有通过欺诈手段获得免除未清偿债务的行为,法院任何时侯都能撤销对其债务豁免的裁定。个人破产制度</w:t>
      </w:r>
    </w:p>
    <w:p>
      <w:pPr>
        <w:ind w:left="210" w:leftChars="100"/>
        <w:rPr>
          <w:rFonts w:asciiTheme="minorEastAsia" w:hAnsiTheme="minorEastAsia"/>
        </w:rPr>
      </w:pPr>
      <w:r>
        <w:rPr>
          <w:rFonts w:hint="eastAsia" w:asciiTheme="minorEastAsia" w:hAnsiTheme="minorEastAsia"/>
        </w:rPr>
        <w:t>①能为市场主体遭遇债务危机提供后续保障 ②彰显法治精神,与国际法律制度完整对接 ③可降低创业风险,为创业者排除后顾之忧 ④以诚信为前提,意在营造创新创业的环境</w:t>
      </w:r>
    </w:p>
    <w:p>
      <w:pPr>
        <w:ind w:left="210" w:leftChars="100"/>
        <w:rPr>
          <w:rFonts w:asciiTheme="minorEastAsia" w:hAnsiTheme="minorEastAsia"/>
        </w:rPr>
      </w:pPr>
      <w:r>
        <w:rPr>
          <w:rFonts w:hint="eastAsia" w:asciiTheme="minorEastAsia" w:hAnsiTheme="minorEastAsia"/>
        </w:rPr>
        <w:t>A．①②</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B．①④</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C．②③</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D．③④</w:t>
      </w:r>
    </w:p>
    <w:p>
      <w:pPr>
        <w:ind w:left="210" w:hanging="210" w:hangingChars="100"/>
        <w:rPr>
          <w:rFonts w:asciiTheme="minorEastAsia" w:hAnsiTheme="minorEastAsia"/>
        </w:rPr>
      </w:pPr>
      <w:r>
        <w:rPr>
          <w:rFonts w:hint="eastAsia" w:asciiTheme="minorEastAsia" w:hAnsiTheme="minorEastAsia"/>
        </w:rPr>
        <w:t>3</w:t>
      </w:r>
      <w:r>
        <w:rPr>
          <w:rFonts w:asciiTheme="minorEastAsia" w:hAnsiTheme="minorEastAsia"/>
        </w:rPr>
        <w:t>.</w:t>
      </w:r>
      <w:r>
        <w:rPr>
          <w:rFonts w:hint="eastAsia" w:asciiTheme="minorEastAsia" w:hAnsiTheme="minorEastAsia"/>
        </w:rPr>
        <w:t>甲国经济对外贸的依存度高，其进出口贸易以美元结算。在开放市场条件下，当甲国发生通货膨胀时，若不考虑其他因素，甲国货币对美元的汇率会下降。关于这一作用过程的描述，正确的是</w:t>
      </w:r>
    </w:p>
    <w:p>
      <w:pPr>
        <w:ind w:left="210" w:hanging="210" w:hangingChars="100"/>
        <w:jc w:val="center"/>
        <w:rPr>
          <w:rFonts w:asciiTheme="minorEastAsia" w:hAnsiTheme="minorEastAsia"/>
        </w:rPr>
      </w:pPr>
      <w:r>
        <w:rPr>
          <w:rFonts w:asciiTheme="minorEastAsia" w:hAnsiTheme="minorEastAsia"/>
        </w:rPr>
        <w:drawing>
          <wp:inline distT="0" distB="0" distL="0" distR="0">
            <wp:extent cx="4029710" cy="863600"/>
            <wp:effectExtent l="0" t="0" r="889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078363" cy="873934"/>
                    </a:xfrm>
                    <a:prstGeom prst="rect">
                      <a:avLst/>
                    </a:prstGeom>
                  </pic:spPr>
                </pic:pic>
              </a:graphicData>
            </a:graphic>
          </wp:inline>
        </w:drawing>
      </w:r>
    </w:p>
    <w:p>
      <w:pPr>
        <w:ind w:left="210" w:leftChars="100"/>
        <w:rPr>
          <w:rFonts w:asciiTheme="minorEastAsia" w:hAnsiTheme="minorEastAsia"/>
        </w:rPr>
      </w:pPr>
      <w:r>
        <w:rPr>
          <w:rFonts w:hint="eastAsia" w:asciiTheme="minorEastAsia" w:hAnsiTheme="minorEastAsia"/>
        </w:rPr>
        <w:t>A．①③</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B．①④</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C．②③</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D．②④</w:t>
      </w:r>
    </w:p>
    <w:p>
      <w:pPr>
        <w:ind w:left="210" w:hanging="210" w:hangingChars="100"/>
        <w:rPr>
          <w:rFonts w:asciiTheme="minorEastAsia" w:hAnsiTheme="minorEastAsia"/>
        </w:rPr>
      </w:pPr>
      <w:r>
        <w:rPr>
          <w:rFonts w:hint="eastAsia" w:asciiTheme="minorEastAsia" w:hAnsiTheme="minorEastAsia"/>
        </w:rPr>
        <w:t>4</w:t>
      </w:r>
      <w:r>
        <w:rPr>
          <w:rFonts w:asciiTheme="minorEastAsia" w:hAnsiTheme="minorEastAsia"/>
        </w:rPr>
        <w:t>.</w:t>
      </w:r>
      <w:r>
        <w:rPr>
          <w:rFonts w:hint="eastAsia" w:asciiTheme="minorEastAsia" w:hAnsiTheme="minorEastAsia"/>
        </w:rPr>
        <w:t>重庆巴南某地最初发展桑树产业，农民不但没挣着钱，反而赔了不少；后来该地将桑葚加工成桑葚面条，面条卖得很好，提高了农业效益，增加了农民收入。这得益于该地</w:t>
      </w:r>
    </w:p>
    <w:p>
      <w:pPr>
        <w:ind w:left="210" w:leftChars="100"/>
        <w:rPr>
          <w:rFonts w:asciiTheme="minorEastAsia" w:hAnsiTheme="minorEastAsia"/>
        </w:rPr>
      </w:pPr>
      <w:r>
        <w:rPr>
          <w:rFonts w:hint="eastAsia" w:asciiTheme="minorEastAsia" w:hAnsiTheme="minorEastAsia"/>
        </w:rPr>
        <w:t>A．提高了社会劳动生产率</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B．利用了商品间的互补策略</w:t>
      </w:r>
    </w:p>
    <w:p>
      <w:pPr>
        <w:ind w:left="210" w:leftChars="100"/>
        <w:rPr>
          <w:rFonts w:asciiTheme="minorEastAsia" w:hAnsiTheme="minorEastAsia"/>
        </w:rPr>
      </w:pPr>
      <w:r>
        <w:rPr>
          <w:rFonts w:hint="eastAsia" w:asciiTheme="minorEastAsia" w:hAnsiTheme="minorEastAsia"/>
        </w:rPr>
        <w:t>C．通过深加工提高了农产品附加值</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D．扩大了商品的使用价值</w:t>
      </w:r>
    </w:p>
    <w:p>
      <w:pPr>
        <w:ind w:left="210" w:hanging="210" w:hangingChars="100"/>
        <w:rPr>
          <w:rFonts w:asciiTheme="minorEastAsia" w:hAnsiTheme="minorEastAsia"/>
        </w:rPr>
      </w:pPr>
      <w:r>
        <w:rPr>
          <w:rFonts w:hint="eastAsia" w:asciiTheme="minorEastAsia" w:hAnsiTheme="minorEastAsia"/>
        </w:rPr>
        <w:t>5</w:t>
      </w:r>
      <w:r>
        <w:rPr>
          <w:rFonts w:asciiTheme="minorEastAsia" w:hAnsiTheme="minorEastAsia"/>
        </w:rPr>
        <w:t>.</w:t>
      </w:r>
      <w:r>
        <w:rPr>
          <w:rFonts w:hint="eastAsia" w:asciiTheme="minorEastAsia" w:hAnsiTheme="minorEastAsia"/>
        </w:rPr>
        <w:t xml:space="preserve"> “爱尚重庆·2021不夜重庆生活节”活动于202</w:t>
      </w:r>
      <w:r>
        <w:rPr>
          <w:rFonts w:asciiTheme="minorEastAsia" w:hAnsiTheme="minorEastAsia"/>
        </w:rPr>
        <w:t>1</w:t>
      </w:r>
      <w:r>
        <w:rPr>
          <w:rFonts w:hint="eastAsia" w:asciiTheme="minorEastAsia" w:hAnsiTheme="minorEastAsia"/>
        </w:rPr>
        <w:t>年</w:t>
      </w:r>
      <w:r>
        <w:rPr>
          <w:rFonts w:asciiTheme="minorEastAsia" w:hAnsiTheme="minorEastAsia"/>
        </w:rPr>
        <w:t>7</w:t>
      </w:r>
      <w:r>
        <w:rPr>
          <w:rFonts w:hint="eastAsia" w:asciiTheme="minorEastAsia" w:hAnsiTheme="minorEastAsia"/>
        </w:rPr>
        <w:t>月</w:t>
      </w:r>
      <w:r>
        <w:rPr>
          <w:rFonts w:asciiTheme="minorEastAsia" w:hAnsiTheme="minorEastAsia"/>
        </w:rPr>
        <w:t>22</w:t>
      </w:r>
      <w:r>
        <w:rPr>
          <w:rFonts w:hint="eastAsia" w:asciiTheme="minorEastAsia" w:hAnsiTheme="minorEastAsia"/>
        </w:rPr>
        <w:t>日晚正式启幕。全市各区推出近200场融合消费促进、商旅文体元素的夜间特色主题活动。涉及南岸区“重庆啤酒音乐节”、黔江区“2021中国原生民歌节”、北碚区“码头夜市文化节”、万州区“2021年秋季汽车消费展”等。“不夜重庆生活节”活动的开展，表明</w:t>
      </w:r>
    </w:p>
    <w:p>
      <w:pPr>
        <w:ind w:left="210" w:leftChars="100"/>
        <w:rPr>
          <w:rFonts w:asciiTheme="minorEastAsia" w:hAnsiTheme="minorEastAsia"/>
        </w:rPr>
      </w:pPr>
      <w:r>
        <w:rPr>
          <w:rFonts w:hint="eastAsia" w:asciiTheme="minorEastAsia" w:hAnsiTheme="minorEastAsia"/>
        </w:rPr>
        <w:t>A．人们生活水平提高，消费欲望强烈</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B．绿色消费成为时尚，传统消费创新发展</w:t>
      </w:r>
    </w:p>
    <w:p>
      <w:pPr>
        <w:ind w:left="210" w:leftChars="100"/>
        <w:rPr>
          <w:rFonts w:asciiTheme="minorEastAsia" w:hAnsiTheme="minorEastAsia"/>
        </w:rPr>
      </w:pPr>
      <w:r>
        <w:rPr>
          <w:rFonts w:hint="eastAsia" w:asciiTheme="minorEastAsia" w:hAnsiTheme="minorEastAsia"/>
        </w:rPr>
        <w:t>C．消费方式多元化，消费市场逐渐回暖</w:t>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D．消费是拉动经济增长的决定性因素</w:t>
      </w:r>
    </w:p>
    <w:p>
      <w:pPr>
        <w:ind w:left="210" w:hanging="210" w:hangingChars="100"/>
        <w:rPr>
          <w:rFonts w:asciiTheme="minorEastAsia" w:hAnsiTheme="minorEastAsia"/>
        </w:rPr>
      </w:pPr>
      <w:r>
        <w:rPr>
          <w:rFonts w:hint="eastAsia" w:asciiTheme="minorEastAsia" w:hAnsiTheme="minorEastAsia"/>
        </w:rPr>
        <w:t>6</w:t>
      </w:r>
      <w:r>
        <w:rPr>
          <w:rFonts w:asciiTheme="minorEastAsia" w:hAnsiTheme="minorEastAsia"/>
        </w:rPr>
        <w:t>.</w:t>
      </w:r>
      <w:r>
        <w:rPr>
          <w:rFonts w:hint="eastAsia" w:asciiTheme="minorEastAsia" w:hAnsiTheme="minorEastAsia"/>
        </w:rPr>
        <w:t>经济学家詹姆斯在《公平是最大的动力》一书中写到:公平是对人格的尊重，可以使一个人最大限度的释放自己的能量，促进社会财富的增加。这说明</w:t>
      </w:r>
    </w:p>
    <w:p>
      <w:pPr>
        <w:ind w:left="210" w:leftChars="100"/>
        <w:rPr>
          <w:rFonts w:asciiTheme="minorEastAsia" w:hAnsiTheme="minorEastAsia"/>
        </w:rPr>
      </w:pPr>
      <w:r>
        <w:rPr>
          <w:rFonts w:hint="eastAsia" w:asciiTheme="minorEastAsia" w:hAnsiTheme="minorEastAsia"/>
        </w:rPr>
        <w:t>A．公平与效率是对立的</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B．效率是公平的物质前提</w:t>
      </w:r>
    </w:p>
    <w:p>
      <w:pPr>
        <w:ind w:left="210" w:leftChars="100"/>
        <w:rPr>
          <w:rFonts w:asciiTheme="minorEastAsia" w:hAnsiTheme="minorEastAsia"/>
        </w:rPr>
      </w:pPr>
      <w:r>
        <w:rPr>
          <w:rFonts w:hint="eastAsia" w:asciiTheme="minorEastAsia" w:hAnsiTheme="minorEastAsia"/>
        </w:rPr>
        <w:t>C．公平与效率是互补的</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D．公平是提高效率的保证</w:t>
      </w:r>
    </w:p>
    <w:p>
      <w:pPr>
        <w:ind w:left="210" w:hanging="210" w:hangingChars="100"/>
        <w:rPr>
          <w:rFonts w:asciiTheme="minorEastAsia" w:hAnsiTheme="minorEastAsia"/>
        </w:rPr>
      </w:pPr>
      <w:r>
        <w:rPr>
          <w:rFonts w:hint="eastAsia" w:asciiTheme="minorEastAsia" w:hAnsiTheme="minorEastAsia"/>
        </w:rPr>
        <w:t>7</w:t>
      </w:r>
      <w:r>
        <w:rPr>
          <w:rFonts w:asciiTheme="minorEastAsia" w:hAnsiTheme="minorEastAsia"/>
        </w:rPr>
        <w:t>.</w:t>
      </w:r>
      <w:r>
        <w:rPr>
          <w:rFonts w:hint="eastAsia" w:asciiTheme="minorEastAsia" w:hAnsiTheme="minorEastAsia"/>
        </w:rPr>
        <w:t>在现实生活中，商品需求量变动会受到诸多因素影响。假定其他条件不变（D1、D2分别表示变化前和变化后的需求曲线），下列选项中引起的变化与对应图示信息相符的是</w:t>
      </w:r>
    </w:p>
    <w:p>
      <w:pPr>
        <w:jc w:val="center"/>
        <w:rPr>
          <w:rFonts w:asciiTheme="minorEastAsia" w:hAnsiTheme="minorEastAsia"/>
        </w:rPr>
      </w:pPr>
      <w:r>
        <w:rPr>
          <w:rFonts w:asciiTheme="minorEastAsia" w:hAnsiTheme="minorEastAsia"/>
        </w:rPr>
        <w:drawing>
          <wp:inline distT="0" distB="0" distL="0" distR="0">
            <wp:extent cx="5125085" cy="1476375"/>
            <wp:effectExtent l="0" t="0" r="0" b="9525"/>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156318" cy="1485573"/>
                    </a:xfrm>
                    <a:prstGeom prst="rect">
                      <a:avLst/>
                    </a:prstGeom>
                  </pic:spPr>
                </pic:pic>
              </a:graphicData>
            </a:graphic>
          </wp:inline>
        </w:drawing>
      </w:r>
    </w:p>
    <w:p>
      <w:pPr>
        <w:ind w:left="210" w:leftChars="100"/>
        <w:rPr>
          <w:rFonts w:asciiTheme="minorEastAsia" w:hAnsiTheme="minorEastAsia"/>
        </w:rPr>
      </w:pPr>
      <w:r>
        <w:rPr>
          <w:rFonts w:hint="eastAsia" w:asciiTheme="minorEastAsia" w:hAnsiTheme="minorEastAsia"/>
        </w:rPr>
        <w:t>①甲是重庆至香港高铁开通对重庆至香港航空客运量的影响 ②乙是</w:t>
      </w:r>
      <w:bookmarkStart w:id="0" w:name="_Hlk82548078"/>
      <w:r>
        <w:rPr>
          <w:rFonts w:hint="eastAsia" w:asciiTheme="minorEastAsia" w:hAnsiTheme="minorEastAsia"/>
        </w:rPr>
        <w:t>西南医院烧伤科</w:t>
      </w:r>
      <w:bookmarkEnd w:id="0"/>
      <w:r>
        <w:rPr>
          <w:rFonts w:hint="eastAsia" w:asciiTheme="minorEastAsia" w:hAnsiTheme="minorEastAsia"/>
        </w:rPr>
        <w:t>高值医用耗材实施带量采购后对此类耗材需求量的影响 ③丙是重庆市增加充电桩、换电站等基础设施后对新能源汽车需求量的影响 ④丁是对澳洲的葡萄酒征收惩罚性关税后国内对澳洲葡萄酒需求量的影响</w:t>
      </w:r>
    </w:p>
    <w:p>
      <w:pPr>
        <w:ind w:left="210" w:leftChars="100"/>
        <w:rPr>
          <w:rFonts w:asciiTheme="minorEastAsia" w:hAnsiTheme="minorEastAsia"/>
        </w:rPr>
      </w:pPr>
      <w:r>
        <w:rPr>
          <w:rFonts w:hint="eastAsia" w:asciiTheme="minorEastAsia" w:hAnsiTheme="minorEastAsia"/>
        </w:rPr>
        <w:t>A．①②</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B．①③</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C．②④</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D．③④</w:t>
      </w:r>
    </w:p>
    <w:p>
      <w:pPr>
        <w:ind w:left="210" w:hanging="210" w:hangingChars="100"/>
        <w:rPr>
          <w:rFonts w:asciiTheme="minorEastAsia" w:hAnsiTheme="minorEastAsia"/>
        </w:rPr>
      </w:pPr>
      <w:r>
        <w:rPr>
          <w:rFonts w:hint="eastAsia" w:asciiTheme="minorEastAsia" w:hAnsiTheme="minorEastAsia"/>
        </w:rPr>
        <w:t>8</w:t>
      </w:r>
      <w:r>
        <w:rPr>
          <w:rFonts w:asciiTheme="minorEastAsia" w:hAnsiTheme="minorEastAsia"/>
        </w:rPr>
        <w:t>.</w:t>
      </w:r>
      <w:r>
        <w:rPr>
          <w:rFonts w:hint="eastAsia" w:asciiTheme="minorEastAsia" w:hAnsiTheme="minorEastAsia"/>
        </w:rPr>
        <w:t>马克思、恩格斯指出：“你们的观念本身是资产阶级的生产关系和所有制关系的产物。正像你们的法，不过是被奉为法律的，你们这个阶级的意志一样，而这种意志的内容是由你们这个阶级的物质生活条件来决定的。”对这段话认识正确的是</w:t>
      </w:r>
    </w:p>
    <w:p>
      <w:pPr>
        <w:ind w:left="210" w:leftChars="100"/>
        <w:rPr>
          <w:rFonts w:asciiTheme="minorEastAsia" w:hAnsiTheme="minorEastAsia"/>
        </w:rPr>
      </w:pPr>
      <w:r>
        <w:rPr>
          <w:rFonts w:hint="eastAsia" w:asciiTheme="minorEastAsia" w:hAnsiTheme="minorEastAsia"/>
        </w:rPr>
        <w:t>A．人类社会的存在和发展离不开各种社会规范</w:t>
      </w:r>
    </w:p>
    <w:p>
      <w:pPr>
        <w:ind w:left="210" w:leftChars="100"/>
        <w:rPr>
          <w:rFonts w:asciiTheme="minorEastAsia" w:hAnsiTheme="minorEastAsia"/>
        </w:rPr>
      </w:pPr>
      <w:r>
        <w:rPr>
          <w:rFonts w:hint="eastAsia" w:asciiTheme="minorEastAsia" w:hAnsiTheme="minorEastAsia"/>
        </w:rPr>
        <w:t>B．法是人类社会发展到一定历史阶段的产物</w:t>
      </w:r>
    </w:p>
    <w:p>
      <w:pPr>
        <w:ind w:left="210" w:leftChars="100"/>
        <w:rPr>
          <w:rFonts w:asciiTheme="minorEastAsia" w:hAnsiTheme="minorEastAsia"/>
        </w:rPr>
      </w:pPr>
      <w:r>
        <w:rPr>
          <w:rFonts w:hint="eastAsia" w:asciiTheme="minorEastAsia" w:hAnsiTheme="minorEastAsia"/>
        </w:rPr>
        <w:t>C．法体现统治阶级意志，生产方式是其决定因素</w:t>
      </w:r>
    </w:p>
    <w:p>
      <w:pPr>
        <w:ind w:left="210" w:leftChars="100"/>
        <w:rPr>
          <w:rFonts w:asciiTheme="minorEastAsia" w:hAnsiTheme="minorEastAsia"/>
        </w:rPr>
      </w:pPr>
      <w:r>
        <w:rPr>
          <w:rFonts w:hint="eastAsia" w:asciiTheme="minorEastAsia" w:hAnsiTheme="minorEastAsia"/>
        </w:rPr>
        <w:t>D．社会主义法比资本主义法更能适应经济基础</w:t>
      </w:r>
    </w:p>
    <w:p>
      <w:pPr>
        <w:ind w:left="210" w:hanging="210" w:hangingChars="100"/>
        <w:rPr>
          <w:rFonts w:asciiTheme="minorEastAsia" w:hAnsiTheme="minorEastAsia"/>
        </w:rPr>
      </w:pPr>
      <w:r>
        <w:rPr>
          <w:rFonts w:hint="eastAsia" w:asciiTheme="minorEastAsia" w:hAnsiTheme="minorEastAsia"/>
        </w:rPr>
        <w:t>9</w:t>
      </w:r>
      <w:r>
        <w:rPr>
          <w:rFonts w:asciiTheme="minorEastAsia" w:hAnsiTheme="minorEastAsia"/>
        </w:rPr>
        <w:t>.</w:t>
      </w:r>
      <w:r>
        <w:rPr>
          <w:rFonts w:hint="eastAsia" w:asciiTheme="minorEastAsia" w:hAnsiTheme="minorEastAsia"/>
        </w:rPr>
        <w:t>“温岭模式”是“参与式预算”模式。美国记者查尔斯·胡兹勒在采访报道时给予这种模式相当高的评价。这项由民主恳谈与预算审查相结合的“参与式”改革，无疑启动了我国基层预算民主的按钮。推进基层协商民主建设</w:t>
      </w:r>
    </w:p>
    <w:p>
      <w:pPr>
        <w:ind w:left="210" w:leftChars="100"/>
        <w:rPr>
          <w:rFonts w:asciiTheme="minorEastAsia" w:hAnsiTheme="minorEastAsia"/>
        </w:rPr>
      </w:pPr>
      <w:r>
        <w:rPr>
          <w:rFonts w:hint="eastAsia" w:asciiTheme="minorEastAsia" w:hAnsiTheme="minorEastAsia"/>
        </w:rPr>
        <w:t>①能够架构起公众与决策者之间的对话机制 ②可有效解决国家和社会治理中的所有问题 ③是实现政治稳定、社会和谐的根本保证 ④有利于化解矛盾、凝聚共识、聚力攻坚</w:t>
      </w:r>
    </w:p>
    <w:p>
      <w:pPr>
        <w:ind w:left="210" w:leftChars="100"/>
        <w:rPr>
          <w:rFonts w:asciiTheme="minorEastAsia" w:hAnsiTheme="minorEastAsia"/>
        </w:rPr>
      </w:pPr>
      <w:r>
        <w:rPr>
          <w:rFonts w:hint="eastAsia" w:asciiTheme="minorEastAsia" w:hAnsiTheme="minorEastAsia"/>
        </w:rPr>
        <w:t>A．①③</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B．①④</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C．②③</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D．②④</w:t>
      </w:r>
    </w:p>
    <w:p>
      <w:pPr>
        <w:ind w:left="210" w:hanging="210" w:hangingChars="100"/>
        <w:rPr>
          <w:rFonts w:asciiTheme="minorEastAsia" w:hAnsiTheme="minorEastAsia"/>
        </w:rPr>
      </w:pPr>
      <w:r>
        <w:rPr>
          <w:rFonts w:hint="eastAsia" w:asciiTheme="minorEastAsia" w:hAnsiTheme="minorEastAsia"/>
        </w:rPr>
        <w:t>1</w:t>
      </w:r>
      <w:r>
        <w:rPr>
          <w:rFonts w:asciiTheme="minorEastAsia" w:hAnsiTheme="minorEastAsia"/>
        </w:rPr>
        <w:t>0.</w:t>
      </w:r>
      <w:r>
        <w:rPr>
          <w:rFonts w:hint="eastAsia" w:asciiTheme="minorEastAsia" w:hAnsiTheme="minorEastAsia"/>
        </w:rPr>
        <w:t>受传统“灵魂不死”观念和“事死如事生”礼制思想影响，我国汉代厚葬成风。南昌海昏侯墓园是中国迄今发现的保存最好，结构最完整，功能布局最清晰，拥有最完备祭祀体系的西汉列侯墓园，是传统丧葬文化的典型代表，对于研究西汉贵族文化和经济社会发展具有十分重要的历史价值。对此理解正确的是</w:t>
      </w:r>
    </w:p>
    <w:p>
      <w:pPr>
        <w:ind w:left="210" w:leftChars="100"/>
        <w:rPr>
          <w:rFonts w:asciiTheme="minorEastAsia" w:hAnsiTheme="minorEastAsia"/>
        </w:rPr>
      </w:pPr>
      <w:r>
        <w:rPr>
          <w:rFonts w:hint="eastAsia" w:asciiTheme="minorEastAsia" w:hAnsiTheme="minorEastAsia"/>
        </w:rPr>
        <w:t xml:space="preserve">①对历史的研究依赖于考古发掘的文物古迹 ②“灵魂不死”的观念对我国丧葬文化影响深刻 ③“事死如事生”礼制思想影响着特定的社会阶层 </w:t>
      </w:r>
      <w:r>
        <w:rPr>
          <w:rFonts w:asciiTheme="minorEastAsia" w:hAnsiTheme="minorEastAsia"/>
        </w:rPr>
        <w:t xml:space="preserve"> </w:t>
      </w:r>
      <w:r>
        <w:rPr>
          <w:rFonts w:hint="eastAsia" w:asciiTheme="minorEastAsia" w:hAnsiTheme="minorEastAsia"/>
        </w:rPr>
        <w:t>④传统丧葬文化的价值随着社会存在的变化而变化</w:t>
      </w:r>
    </w:p>
    <w:p>
      <w:pPr>
        <w:ind w:left="210" w:leftChars="100"/>
        <w:rPr>
          <w:rFonts w:asciiTheme="minorEastAsia" w:hAnsiTheme="minorEastAsia"/>
        </w:rPr>
      </w:pPr>
      <w:r>
        <w:rPr>
          <w:rFonts w:hint="eastAsia" w:asciiTheme="minorEastAsia" w:hAnsiTheme="minorEastAsia"/>
        </w:rPr>
        <w:t>A．①②</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B．①③</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C．②④</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D．③④</w:t>
      </w:r>
    </w:p>
    <w:p>
      <w:pPr>
        <w:ind w:left="210" w:hanging="210" w:hangingChars="100"/>
        <w:rPr>
          <w:rFonts w:asciiTheme="minorEastAsia" w:hAnsiTheme="minorEastAsia"/>
        </w:rPr>
      </w:pPr>
      <w:r>
        <w:rPr>
          <w:rFonts w:hint="eastAsia" w:asciiTheme="minorEastAsia" w:hAnsiTheme="minorEastAsia"/>
        </w:rPr>
        <w:t>1</w:t>
      </w:r>
      <w:r>
        <w:rPr>
          <w:rFonts w:asciiTheme="minorEastAsia" w:hAnsiTheme="minorEastAsia"/>
        </w:rPr>
        <w:t>1.</w:t>
      </w:r>
      <w:r>
        <w:rPr>
          <w:rFonts w:hint="eastAsia" w:asciiTheme="minorEastAsia" w:hAnsiTheme="minorEastAsia"/>
        </w:rPr>
        <w:t>马克思指出：“我们判断一个人不能以他对自己的看法为根据，同样，我们判断这样一个变革时代也不能以它的意识为根据；相反，这个意识必须从物质生活的矛盾中，从社会生产力和生产关系之间的现存冲突中去解释。”这体现了</w:t>
      </w:r>
    </w:p>
    <w:p>
      <w:pPr>
        <w:ind w:left="210" w:leftChars="100"/>
        <w:rPr>
          <w:rFonts w:asciiTheme="minorEastAsia" w:hAnsiTheme="minorEastAsia"/>
        </w:rPr>
      </w:pPr>
      <w:r>
        <w:rPr>
          <w:rFonts w:hint="eastAsia" w:asciiTheme="minorEastAsia" w:hAnsiTheme="minorEastAsia"/>
        </w:rPr>
        <w:t>①社会意识对社会存在具有依赖性 ②思想变革是时代变革的先导 ③生产方式对整个社会生活具有决定作用 ④社会历史是由有意识的人的活动构成的</w:t>
      </w:r>
    </w:p>
    <w:p>
      <w:pPr>
        <w:ind w:left="210" w:leftChars="100"/>
        <w:rPr>
          <w:rFonts w:asciiTheme="minorEastAsia" w:hAnsiTheme="minorEastAsia"/>
        </w:rPr>
      </w:pPr>
      <w:r>
        <w:rPr>
          <w:rFonts w:hint="eastAsia" w:asciiTheme="minorEastAsia" w:hAnsiTheme="minorEastAsia"/>
        </w:rPr>
        <w:t>A．①②</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B．①③</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C．②④</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D．③④</w:t>
      </w:r>
    </w:p>
    <w:p>
      <w:pPr>
        <w:ind w:left="210" w:hanging="210" w:hangingChars="100"/>
        <w:rPr>
          <w:rFonts w:asciiTheme="minorEastAsia" w:hAnsiTheme="minorEastAsia"/>
        </w:rPr>
      </w:pPr>
      <w:r>
        <w:rPr>
          <w:rFonts w:hint="eastAsia" w:asciiTheme="minorEastAsia" w:hAnsiTheme="minorEastAsia"/>
        </w:rPr>
        <w:t>1</w:t>
      </w:r>
      <w:r>
        <w:rPr>
          <w:rFonts w:asciiTheme="minorEastAsia" w:hAnsiTheme="minorEastAsia"/>
        </w:rPr>
        <w:t>2.</w:t>
      </w:r>
      <w:r>
        <w:rPr>
          <w:rFonts w:hint="eastAsia" w:asciiTheme="minorEastAsia" w:hAnsiTheme="minorEastAsia"/>
        </w:rPr>
        <w:t>看一座城市的深度与厚度、古朴与繁华，要去看它的那些博物馆。博物馆是这座城市的基因库，里面收藏着城市的气味、先人曾经抛掷过的石块、种过的稻种、井栏、砖瓦以及最后一块鱼化石……以下认识正确的是</w:t>
      </w:r>
    </w:p>
    <w:p>
      <w:pPr>
        <w:ind w:left="210" w:leftChars="100"/>
        <w:rPr>
          <w:rFonts w:asciiTheme="minorEastAsia" w:hAnsiTheme="minorEastAsia"/>
        </w:rPr>
      </w:pPr>
      <w:r>
        <w:rPr>
          <w:rFonts w:hint="eastAsia" w:asciiTheme="minorEastAsia" w:hAnsiTheme="minorEastAsia"/>
        </w:rPr>
        <w:t>①一座城市的文化特质可能在博物馆的藏品上隐隐显露</w:t>
      </w:r>
      <w:r>
        <w:rPr>
          <w:rFonts w:asciiTheme="minorEastAsia" w:hAnsiTheme="minorEastAsia"/>
        </w:rPr>
        <w:t xml:space="preserve"> </w:t>
      </w:r>
      <w:r>
        <w:rPr>
          <w:rFonts w:hint="eastAsia" w:asciiTheme="minorEastAsia" w:hAnsiTheme="minorEastAsia"/>
        </w:rPr>
        <w:t>②观众心中载着乡愁，才能厘清城市文化的脉络及岁月流转</w:t>
      </w:r>
      <w:r>
        <w:rPr>
          <w:rFonts w:asciiTheme="minorEastAsia" w:hAnsiTheme="minorEastAsia"/>
        </w:rPr>
        <w:t xml:space="preserve"> </w:t>
      </w:r>
      <w:r>
        <w:rPr>
          <w:rFonts w:hint="eastAsia" w:asciiTheme="minorEastAsia" w:hAnsiTheme="minorEastAsia"/>
        </w:rPr>
        <w:t>③博物馆文化讲述城市故事，是城市居民创造的物质成果</w:t>
      </w:r>
      <w:r>
        <w:rPr>
          <w:rFonts w:asciiTheme="minorEastAsia" w:hAnsiTheme="minorEastAsia"/>
        </w:rPr>
        <w:t xml:space="preserve"> </w:t>
      </w:r>
      <w:r>
        <w:rPr>
          <w:rFonts w:hint="eastAsia" w:asciiTheme="minorEastAsia" w:hAnsiTheme="minorEastAsia"/>
        </w:rPr>
        <w:t>④可将博物馆资源融入教育体系，建立博物馆与学校合作长效机制</w:t>
      </w:r>
    </w:p>
    <w:p>
      <w:pPr>
        <w:ind w:left="210" w:leftChars="100"/>
        <w:rPr>
          <w:rFonts w:asciiTheme="minorEastAsia" w:hAnsiTheme="minorEastAsia"/>
        </w:rPr>
      </w:pPr>
      <w:r>
        <w:rPr>
          <w:rFonts w:hint="eastAsia" w:asciiTheme="minorEastAsia" w:hAnsiTheme="minorEastAsia"/>
        </w:rPr>
        <w:t>A．①④</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B．②③</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C．②④</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D．③④</w:t>
      </w:r>
    </w:p>
    <w:p>
      <w:pPr>
        <w:ind w:left="210" w:hanging="210" w:hangingChars="100"/>
        <w:rPr>
          <w:rFonts w:asciiTheme="minorEastAsia" w:hAnsiTheme="minorEastAsia"/>
        </w:rPr>
      </w:pPr>
      <w:r>
        <w:rPr>
          <w:rFonts w:hint="eastAsia" w:asciiTheme="minorEastAsia" w:hAnsiTheme="minorEastAsia"/>
        </w:rPr>
        <w:t>1</w:t>
      </w:r>
      <w:r>
        <w:rPr>
          <w:rFonts w:asciiTheme="minorEastAsia" w:hAnsiTheme="minorEastAsia"/>
        </w:rPr>
        <w:t>3.</w:t>
      </w:r>
      <w:r>
        <w:rPr>
          <w:rFonts w:hint="eastAsia" w:asciiTheme="minorEastAsia" w:hAnsiTheme="minorEastAsia"/>
        </w:rPr>
        <w:t>在新能源革命中，生物质能是唯一的可再生碳源。它直接或间接来源于绿色植物的光合作用，可转化为常规的固态、液态和气态燃料，取之不尽、用之不竭，如我国南方地区，许多糖厂利用甘蔗渣发电。甘蔗渣能发电说明</w:t>
      </w:r>
    </w:p>
    <w:p>
      <w:pPr>
        <w:ind w:left="210" w:leftChars="100"/>
        <w:rPr>
          <w:rFonts w:asciiTheme="minorEastAsia" w:hAnsiTheme="minorEastAsia"/>
        </w:rPr>
      </w:pPr>
      <w:r>
        <w:rPr>
          <w:rFonts w:hint="eastAsia" w:asciiTheme="minorEastAsia" w:hAnsiTheme="minorEastAsia"/>
        </w:rPr>
        <w:t>①人们对绿色能源的需要是甘蔗渣具有价值的源泉 ②甘蔗渣的功能属性是满足人们绿色能源需要的基础 ③人们的创新想法从根本上推动了甘蔗渣价值的转变 ④事物价值的实现建立在物与人关系的基础上</w:t>
      </w:r>
    </w:p>
    <w:p>
      <w:pPr>
        <w:ind w:left="210" w:leftChars="100"/>
        <w:rPr>
          <w:rFonts w:asciiTheme="minorEastAsia" w:hAnsiTheme="minorEastAsia"/>
        </w:rPr>
      </w:pPr>
      <w:r>
        <w:rPr>
          <w:rFonts w:hint="eastAsia" w:asciiTheme="minorEastAsia" w:hAnsiTheme="minorEastAsia"/>
        </w:rPr>
        <w:t>A．①②</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B．①③</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C．②④</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D．③④</w:t>
      </w:r>
    </w:p>
    <w:p>
      <w:pPr>
        <w:ind w:left="210" w:hanging="210" w:hangingChars="100"/>
        <w:rPr>
          <w:rFonts w:asciiTheme="minorEastAsia" w:hAnsiTheme="minorEastAsia"/>
        </w:rPr>
      </w:pPr>
      <w:r>
        <w:rPr>
          <w:rFonts w:hint="eastAsia" w:asciiTheme="minorEastAsia" w:hAnsiTheme="minorEastAsia"/>
        </w:rPr>
        <w:t>1</w:t>
      </w:r>
      <w:r>
        <w:rPr>
          <w:rFonts w:asciiTheme="minorEastAsia" w:hAnsiTheme="minorEastAsia"/>
        </w:rPr>
        <w:t>4.</w:t>
      </w:r>
      <w:r>
        <w:rPr>
          <w:rFonts w:hint="eastAsia" w:asciiTheme="minorEastAsia" w:hAnsiTheme="minorEastAsia"/>
        </w:rPr>
        <w:t>“知者乐山，仁者乐水”，文人园中，有山有意，有水有情，一花一木，一草一石，连缀成文，各有意蕴，或展现对大自然的热爱，或畅谈青春年华的感受，或表达对国家命运的担忧……这些作品成为国人心中特殊的文化情结，给人智慧、激励与豪气。从山水文化中可见</w:t>
      </w:r>
    </w:p>
    <w:p>
      <w:pPr>
        <w:ind w:left="210" w:leftChars="100"/>
        <w:rPr>
          <w:rFonts w:asciiTheme="minorEastAsia" w:hAnsiTheme="minorEastAsia"/>
        </w:rPr>
      </w:pPr>
      <w:r>
        <w:rPr>
          <w:rFonts w:hint="eastAsia" w:asciiTheme="minorEastAsia" w:hAnsiTheme="minorEastAsia"/>
        </w:rPr>
        <w:t>①山水与文人创作之间存在着必然的稳定联系 ②一双“思维的眼睛”，洞悉文人的内心世界 ③物质可以变精神、精神可以变物质的辩证法 ④文人在寄情山水中实现顺从自然、改造自然</w:t>
      </w:r>
    </w:p>
    <w:p>
      <w:pPr>
        <w:ind w:left="210" w:leftChars="100"/>
        <w:rPr>
          <w:rFonts w:asciiTheme="minorEastAsia" w:hAnsiTheme="minorEastAsia"/>
        </w:rPr>
      </w:pPr>
      <w:r>
        <w:rPr>
          <w:rFonts w:hint="eastAsia" w:asciiTheme="minorEastAsia" w:hAnsiTheme="minorEastAsia"/>
        </w:rPr>
        <w:t>A．①③</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B．①④</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C．②③</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D．②④</w:t>
      </w:r>
    </w:p>
    <w:p>
      <w:pPr>
        <w:ind w:left="210" w:hanging="210" w:hangingChars="100"/>
        <w:rPr>
          <w:rFonts w:asciiTheme="minorEastAsia" w:hAnsiTheme="minorEastAsia"/>
        </w:rPr>
      </w:pPr>
      <w:r>
        <w:rPr>
          <w:rFonts w:hint="eastAsia" w:asciiTheme="minorEastAsia" w:hAnsiTheme="minorEastAsia"/>
        </w:rPr>
        <w:t>1</w:t>
      </w:r>
      <w:r>
        <w:rPr>
          <w:rFonts w:asciiTheme="minorEastAsia" w:hAnsiTheme="minorEastAsia"/>
        </w:rPr>
        <w:t>5.</w:t>
      </w:r>
      <w:r>
        <w:rPr>
          <w:rFonts w:hint="eastAsia" w:asciiTheme="minorEastAsia" w:hAnsiTheme="minorEastAsia"/>
        </w:rPr>
        <w:t>“软世代”一词用于形容安于现状、不思进取，只图享乐的新一代青少年。“年轻人宁愿做网红，宁愿开网店，却不愿为获得更丰厚的报酬吃苦。”。一些青少年心中的斗志被所谓“佛系”“丧文化”所磨灭。享乐心理与虚荣并存，侵染无数本应挥洒青春书写辉煌的青少年。习近平总书记说：“幸福都是奋斗出来的，要撸起袖子加油干。”这表明青少年不做“软世代”，争当追梦人就要</w:t>
      </w:r>
    </w:p>
    <w:p>
      <w:pPr>
        <w:ind w:left="210" w:leftChars="100"/>
        <w:rPr>
          <w:rFonts w:asciiTheme="minorEastAsia" w:hAnsiTheme="minorEastAsia"/>
        </w:rPr>
      </w:pPr>
      <w:r>
        <w:rPr>
          <w:rFonts w:hint="eastAsia" w:asciiTheme="minorEastAsia" w:hAnsiTheme="minorEastAsia"/>
        </w:rPr>
        <w:t>①追求物质的“个人奋斗”是不可能实现的，是没有意义的 ②练就多项硬本领，更多创造物质财富才能实现人生价值 ③端正人生态度，坚定理想信念，让青春在创新创造中闪光 ④走出狭隘自我的小天地，在劳动和奉献中升华人生境界</w:t>
      </w:r>
    </w:p>
    <w:p>
      <w:pPr>
        <w:ind w:left="210" w:leftChars="100"/>
        <w:rPr>
          <w:rFonts w:asciiTheme="minorEastAsia" w:hAnsiTheme="minorEastAsia"/>
        </w:rPr>
      </w:pPr>
      <w:r>
        <w:rPr>
          <w:rFonts w:hint="eastAsia" w:asciiTheme="minorEastAsia" w:hAnsiTheme="minorEastAsia"/>
        </w:rPr>
        <w:t>A．①②</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B．①③</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C．②④</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hint="eastAsia" w:asciiTheme="minorEastAsia" w:hAnsiTheme="minorEastAsia"/>
        </w:rPr>
        <w:t>D．③④</w:t>
      </w:r>
    </w:p>
    <w:p>
      <w:pPr>
        <w:rPr>
          <w:rFonts w:ascii="宋体" w:hAnsi="宋体" w:eastAsia="宋体" w:cs="宋体"/>
          <w:sz w:val="22"/>
          <w:szCs w:val="28"/>
        </w:rPr>
      </w:pPr>
      <w:r>
        <w:rPr>
          <w:rFonts w:hint="eastAsia" w:ascii="黑体" w:hAnsi="黑体" w:eastAsia="黑体" w:cs="黑体"/>
          <w:sz w:val="24"/>
          <w:szCs w:val="32"/>
        </w:rPr>
        <w:t>二、非选择题（满分55分）</w:t>
      </w:r>
    </w:p>
    <w:p>
      <w:pPr>
        <w:rPr>
          <w:rFonts w:ascii="宋体" w:hAnsi="宋体" w:eastAsia="宋体" w:cs="宋体"/>
          <w:sz w:val="22"/>
          <w:szCs w:val="28"/>
        </w:rPr>
      </w:pPr>
      <w:r>
        <w:rPr>
          <w:rFonts w:hint="eastAsia" w:ascii="宋体" w:hAnsi="宋体" w:eastAsia="宋体" w:cs="宋体"/>
          <w:sz w:val="22"/>
          <w:szCs w:val="28"/>
        </w:rPr>
        <w:t>16.（1</w:t>
      </w:r>
      <w:r>
        <w:rPr>
          <w:rFonts w:ascii="宋体" w:hAnsi="宋体" w:eastAsia="宋体" w:cs="宋体"/>
          <w:sz w:val="22"/>
          <w:szCs w:val="28"/>
        </w:rPr>
        <w:t>4</w:t>
      </w:r>
      <w:r>
        <w:rPr>
          <w:rFonts w:hint="eastAsia" w:ascii="宋体" w:hAnsi="宋体" w:eastAsia="宋体" w:cs="宋体"/>
          <w:sz w:val="22"/>
          <w:szCs w:val="28"/>
        </w:rPr>
        <w:t>分）阅读材料，完成下列要求。</w:t>
      </w:r>
    </w:p>
    <w:p>
      <w:pPr>
        <w:jc w:val="center"/>
        <w:rPr>
          <w:rFonts w:ascii="楷体" w:hAnsi="楷体" w:eastAsia="楷体" w:cs="楷体"/>
          <w:sz w:val="22"/>
          <w:szCs w:val="28"/>
        </w:rPr>
      </w:pPr>
      <w:r>
        <w:rPr>
          <w:rFonts w:hint="eastAsia" w:ascii="楷体" w:hAnsi="楷体" w:eastAsia="楷体" w:cs="楷体"/>
          <w:sz w:val="22"/>
          <w:szCs w:val="28"/>
        </w:rPr>
        <w:drawing>
          <wp:inline distT="0" distB="0" distL="0" distR="0">
            <wp:extent cx="4330065" cy="2527300"/>
            <wp:effectExtent l="0" t="0" r="0" b="635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351818" cy="2539851"/>
                    </a:xfrm>
                    <a:prstGeom prst="rect">
                      <a:avLst/>
                    </a:prstGeom>
                  </pic:spPr>
                </pic:pic>
              </a:graphicData>
            </a:graphic>
          </wp:inline>
        </w:drawing>
      </w:r>
    </w:p>
    <w:p>
      <w:pPr>
        <w:ind w:left="218" w:leftChars="104" w:firstLine="440" w:firstLineChars="200"/>
        <w:rPr>
          <w:rFonts w:ascii="楷体" w:hAnsi="楷体" w:eastAsia="楷体" w:cs="楷体"/>
          <w:sz w:val="22"/>
          <w:szCs w:val="28"/>
        </w:rPr>
      </w:pPr>
      <w:r>
        <w:rPr>
          <w:rFonts w:hint="eastAsia" w:ascii="楷体" w:hAnsi="楷体" w:eastAsia="楷体" w:cs="楷体"/>
          <w:sz w:val="22"/>
          <w:szCs w:val="28"/>
        </w:rPr>
        <w:t>面对气候变化这一全球最大的环境挑战，世界各国都在尝试采用各类减排政策工具控制温室气体排放，以尽快实现碳排放达峰和碳中和目标。碳排放权交易机制是利用市场机制推动碳减排的重要政策工具。</w:t>
      </w:r>
    </w:p>
    <w:p>
      <w:pPr>
        <w:ind w:left="218" w:leftChars="104" w:firstLine="440" w:firstLineChars="200"/>
        <w:rPr>
          <w:rFonts w:ascii="楷体" w:hAnsi="楷体" w:eastAsia="楷体" w:cs="宋体"/>
          <w:sz w:val="22"/>
          <w:szCs w:val="28"/>
        </w:rPr>
      </w:pPr>
      <w:r>
        <w:rPr>
          <w:rFonts w:hint="eastAsia" w:ascii="楷体" w:hAnsi="楷体" w:eastAsia="楷体" w:cs="楷体"/>
          <w:sz w:val="22"/>
          <w:szCs w:val="28"/>
        </w:rPr>
        <w:t>碳排放权交易机制是在设定强制性的碳排放总量控制目标并允许进行碳排放配额交易的前提下，通过市场机制优化配置碳排放空间资源，为排放实体碳减排提供经济激励。与行政指令、经济补贴等命令控制型政策相比，碳排放权交易机制可以明确排放主体的减排责任，是低成本、可持续的碳减排政策工具。我国目前已经开始构建碳排放权交易机制以激励排放实体低成本完成碳减排目标，将其作为实现温室气体排放总量控制和峰值目标的重要手段。</w:t>
      </w:r>
    </w:p>
    <w:p>
      <w:pPr>
        <w:ind w:left="210" w:leftChars="100" w:firstLine="440" w:firstLineChars="200"/>
        <w:rPr>
          <w:rFonts w:ascii="宋体" w:hAnsi="宋体" w:eastAsia="宋体" w:cs="宋体"/>
          <w:sz w:val="22"/>
          <w:szCs w:val="28"/>
        </w:rPr>
      </w:pPr>
      <w:r>
        <w:rPr>
          <w:rFonts w:hint="eastAsia" w:ascii="宋体" w:hAnsi="宋体" w:eastAsia="宋体" w:cs="宋体"/>
          <w:sz w:val="22"/>
          <w:szCs w:val="28"/>
        </w:rPr>
        <w:t>结合材料，运用《经济生活》知识，分析全国碳排放权交易对经济发展的积极影响。</w:t>
      </w:r>
    </w:p>
    <w:p>
      <w:pPr>
        <w:ind w:firstLine="220" w:firstLineChars="100"/>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17.（1</w:t>
      </w:r>
      <w:r>
        <w:rPr>
          <w:rFonts w:ascii="宋体" w:hAnsi="宋体" w:eastAsia="宋体" w:cs="宋体"/>
          <w:sz w:val="22"/>
          <w:szCs w:val="28"/>
        </w:rPr>
        <w:t>6</w:t>
      </w:r>
      <w:r>
        <w:rPr>
          <w:rFonts w:hint="eastAsia" w:ascii="宋体" w:hAnsi="宋体" w:eastAsia="宋体" w:cs="宋体"/>
          <w:sz w:val="22"/>
          <w:szCs w:val="28"/>
        </w:rPr>
        <w:t>分）阅读材料，完成下列要求。</w:t>
      </w:r>
    </w:p>
    <w:p>
      <w:pPr>
        <w:ind w:left="218" w:leftChars="104" w:firstLine="220" w:firstLineChars="100"/>
        <w:rPr>
          <w:rFonts w:ascii="楷体" w:hAnsi="楷体" w:eastAsia="楷体" w:cs="楷体"/>
          <w:sz w:val="22"/>
          <w:szCs w:val="28"/>
        </w:rPr>
      </w:pPr>
      <w:r>
        <w:rPr>
          <w:rFonts w:hint="eastAsia" w:ascii="楷体" w:hAnsi="楷体" w:eastAsia="楷体" w:cs="楷体"/>
          <w:sz w:val="22"/>
          <w:szCs w:val="28"/>
        </w:rPr>
        <w:t>2020年注定是不平凡的一年，我国疫情防控取得重大战略成果，在全球主要经济体中唯一实现经济正增长(GDP增长2.3%)。</w:t>
      </w:r>
    </w:p>
    <w:p>
      <w:pPr>
        <w:ind w:left="218" w:leftChars="104" w:firstLine="220" w:firstLineChars="100"/>
        <w:rPr>
          <w:rFonts w:ascii="楷体" w:hAnsi="楷体" w:eastAsia="楷体" w:cs="楷体"/>
          <w:sz w:val="22"/>
          <w:szCs w:val="28"/>
        </w:rPr>
      </w:pPr>
      <w:r>
        <w:rPr>
          <w:rFonts w:hint="eastAsia" w:ascii="楷体" w:hAnsi="楷体" w:eastAsia="楷体" w:cs="楷体"/>
          <w:sz w:val="22"/>
          <w:szCs w:val="28"/>
        </w:rPr>
        <w:t>同学们在查看《国民经济和社会发展第十四个五年规划和2035年远景目标纲要》时，就国家发展各项目标进行整理（如下表）。</w:t>
      </w:r>
    </w:p>
    <w:tbl>
      <w:tblPr>
        <w:tblStyle w:val="9"/>
        <w:tblW w:w="670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40"/>
        <w:gridCol w:w="2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2" w:hRule="atLeast"/>
        </w:trPr>
        <w:tc>
          <w:tcPr>
            <w:tcW w:w="4140" w:type="dxa"/>
            <w:tcBorders>
              <w:top w:val="single" w:color="000000" w:sz="8" w:space="0"/>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项目</w:t>
            </w:r>
          </w:p>
        </w:tc>
        <w:tc>
          <w:tcPr>
            <w:tcW w:w="2565" w:type="dxa"/>
            <w:tcBorders>
              <w:top w:val="single" w:color="000000" w:sz="8" w:space="0"/>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目标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4140"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城镇调查失业率</w:t>
            </w:r>
          </w:p>
        </w:tc>
        <w:tc>
          <w:tcPr>
            <w:tcW w:w="2565"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控制5.5%以内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140"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全社会研发经费投入</w:t>
            </w:r>
          </w:p>
        </w:tc>
        <w:tc>
          <w:tcPr>
            <w:tcW w:w="2565"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年均增长7%以上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140"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单位国内生产总值能耗</w:t>
            </w:r>
          </w:p>
        </w:tc>
        <w:tc>
          <w:tcPr>
            <w:tcW w:w="2565"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降低13.5%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4140"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单位国内生产总值二氧化碳排放</w:t>
            </w:r>
          </w:p>
        </w:tc>
        <w:tc>
          <w:tcPr>
            <w:tcW w:w="2565"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降低18%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140"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劳动年龄人口平均受教育年限提高到</w:t>
            </w:r>
          </w:p>
        </w:tc>
        <w:tc>
          <w:tcPr>
            <w:tcW w:w="2565"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11.3年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140"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基本养老保险参保率提高到</w:t>
            </w:r>
          </w:p>
        </w:tc>
        <w:tc>
          <w:tcPr>
            <w:tcW w:w="2565"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4140"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居民收入增长和经济增长</w:t>
            </w:r>
          </w:p>
        </w:tc>
        <w:tc>
          <w:tcPr>
            <w:tcW w:w="2565"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基本同步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140"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我国GDP量化经济增速目标</w:t>
            </w:r>
          </w:p>
        </w:tc>
        <w:tc>
          <w:tcPr>
            <w:tcW w:w="2565"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楷体" w:hAnsi="楷体" w:eastAsia="楷体" w:cs="宋体"/>
                <w:kern w:val="0"/>
                <w:sz w:val="20"/>
                <w:szCs w:val="20"/>
              </w:rPr>
            </w:pPr>
            <w:r>
              <w:rPr>
                <w:rFonts w:ascii="楷体" w:hAnsi="楷体" w:eastAsia="楷体" w:cs="宋体"/>
                <w:kern w:val="0"/>
                <w:sz w:val="20"/>
                <w:szCs w:val="20"/>
              </w:rPr>
              <w:t>没</w:t>
            </w:r>
          </w:p>
        </w:tc>
      </w:tr>
    </w:tbl>
    <w:p>
      <w:pPr>
        <w:rPr>
          <w:rFonts w:ascii="楷体" w:hAnsi="楷体" w:eastAsia="楷体" w:cs="宋体"/>
          <w:sz w:val="22"/>
          <w:szCs w:val="28"/>
        </w:rPr>
      </w:pPr>
      <w:r>
        <w:rPr>
          <w:rFonts w:hint="eastAsia" w:ascii="楷体" w:hAnsi="楷体" w:eastAsia="楷体" w:cs="宋体"/>
          <w:sz w:val="22"/>
          <w:szCs w:val="28"/>
        </w:rPr>
        <w:t xml:space="preserve"> </w:t>
      </w:r>
      <w:r>
        <w:rPr>
          <w:rFonts w:ascii="楷体" w:hAnsi="楷体" w:eastAsia="楷体" w:cs="宋体"/>
          <w:sz w:val="22"/>
          <w:szCs w:val="28"/>
        </w:rPr>
        <w:t xml:space="preserve">    </w:t>
      </w:r>
      <w:r>
        <w:rPr>
          <w:rFonts w:hint="eastAsia" w:ascii="楷体" w:hAnsi="楷体" w:eastAsia="楷体" w:cs="宋体"/>
          <w:sz w:val="22"/>
          <w:szCs w:val="28"/>
        </w:rPr>
        <w:t>注：经济运行保持在合理区间，各年度视情况提出经济增长预期目标。</w:t>
      </w:r>
    </w:p>
    <w:p>
      <w:pPr>
        <w:ind w:left="220" w:hanging="220" w:hangingChars="100"/>
        <w:rPr>
          <w:rFonts w:ascii="宋体" w:hAnsi="宋体" w:eastAsia="宋体" w:cs="宋体"/>
          <w:sz w:val="22"/>
          <w:szCs w:val="28"/>
        </w:rPr>
      </w:pPr>
      <w:r>
        <w:rPr>
          <w:rFonts w:ascii="宋体" w:hAnsi="宋体" w:eastAsia="宋体" w:cs="宋体"/>
          <w:sz w:val="22"/>
          <w:szCs w:val="28"/>
        </w:rPr>
        <w:t xml:space="preserve">     </w:t>
      </w:r>
      <w:r>
        <w:rPr>
          <w:rFonts w:hint="eastAsia" w:ascii="宋体" w:hAnsi="宋体" w:eastAsia="宋体" w:cs="宋体"/>
          <w:sz w:val="22"/>
          <w:szCs w:val="28"/>
        </w:rPr>
        <w:t>针对我国“十四五”纲要不设具体量化经济增速目标，“经济运行保持在合理区间，各年度视情况提出经济增长预期目标”这一问题，请从《经济生活》的角度给同学们一个合理的答复？</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18.（1</w:t>
      </w:r>
      <w:r>
        <w:rPr>
          <w:rFonts w:ascii="宋体" w:hAnsi="宋体" w:eastAsia="宋体" w:cs="宋体"/>
          <w:sz w:val="22"/>
          <w:szCs w:val="28"/>
        </w:rPr>
        <w:t>2</w:t>
      </w:r>
      <w:r>
        <w:rPr>
          <w:rFonts w:hint="eastAsia" w:ascii="宋体" w:hAnsi="宋体" w:eastAsia="宋体" w:cs="宋体"/>
          <w:sz w:val="22"/>
          <w:szCs w:val="28"/>
        </w:rPr>
        <w:t>分）阅读材料，完成下列要求。</w:t>
      </w:r>
    </w:p>
    <w:p>
      <w:pPr>
        <w:jc w:val="center"/>
        <w:rPr>
          <w:rFonts w:ascii="楷体" w:hAnsi="楷体" w:eastAsia="楷体" w:cs="楷体"/>
          <w:sz w:val="22"/>
          <w:szCs w:val="28"/>
        </w:rPr>
      </w:pPr>
      <w:r>
        <w:rPr>
          <w:rFonts w:hint="eastAsia" w:ascii="楷体" w:hAnsi="楷体" w:eastAsia="楷体" w:cs="楷体"/>
          <w:sz w:val="22"/>
          <w:szCs w:val="28"/>
        </w:rPr>
        <w:t>关于开展“中秋文化节策划”征集活动的公告</w:t>
      </w:r>
    </w:p>
    <w:p>
      <w:pPr>
        <w:ind w:left="218" w:leftChars="104" w:firstLine="440" w:firstLineChars="200"/>
        <w:rPr>
          <w:rFonts w:ascii="楷体" w:hAnsi="楷体" w:eastAsia="楷体" w:cs="楷体"/>
          <w:sz w:val="22"/>
          <w:szCs w:val="28"/>
        </w:rPr>
      </w:pPr>
      <w:r>
        <w:rPr>
          <w:rFonts w:hint="eastAsia" w:ascii="楷体" w:hAnsi="楷体" w:eastAsia="楷体" w:cs="楷体"/>
          <w:sz w:val="22"/>
          <w:szCs w:val="28"/>
        </w:rPr>
        <w:t>为进一步繁荣社区文化，让居民积极参与社区文化生活，本社区定于202</w:t>
      </w:r>
      <w:r>
        <w:rPr>
          <w:rFonts w:ascii="楷体" w:hAnsi="楷体" w:eastAsia="楷体" w:cs="楷体"/>
          <w:sz w:val="22"/>
          <w:szCs w:val="28"/>
        </w:rPr>
        <w:t>1</w:t>
      </w:r>
      <w:r>
        <w:rPr>
          <w:rFonts w:hint="eastAsia" w:ascii="楷体" w:hAnsi="楷体" w:eastAsia="楷体" w:cs="楷体"/>
          <w:sz w:val="22"/>
          <w:szCs w:val="28"/>
        </w:rPr>
        <w:t>年9月1</w:t>
      </w:r>
      <w:r>
        <w:rPr>
          <w:rFonts w:ascii="楷体" w:hAnsi="楷体" w:eastAsia="楷体" w:cs="楷体"/>
          <w:sz w:val="22"/>
          <w:szCs w:val="28"/>
        </w:rPr>
        <w:t>9</w:t>
      </w:r>
      <w:r>
        <w:rPr>
          <w:rFonts w:hint="eastAsia" w:ascii="楷体" w:hAnsi="楷体" w:eastAsia="楷体" w:cs="楷体"/>
          <w:sz w:val="22"/>
          <w:szCs w:val="28"/>
        </w:rPr>
        <w:t>-</w:t>
      </w:r>
      <w:r>
        <w:rPr>
          <w:rFonts w:ascii="楷体" w:hAnsi="楷体" w:eastAsia="楷体" w:cs="楷体"/>
          <w:sz w:val="22"/>
          <w:szCs w:val="28"/>
        </w:rPr>
        <w:t>9</w:t>
      </w:r>
      <w:r>
        <w:rPr>
          <w:rFonts w:hint="eastAsia" w:ascii="楷体" w:hAnsi="楷体" w:eastAsia="楷体" w:cs="楷体"/>
          <w:sz w:val="22"/>
          <w:szCs w:val="28"/>
        </w:rPr>
        <w:t>月2</w:t>
      </w:r>
      <w:r>
        <w:rPr>
          <w:rFonts w:ascii="楷体" w:hAnsi="楷体" w:eastAsia="楷体" w:cs="楷体"/>
          <w:sz w:val="22"/>
          <w:szCs w:val="28"/>
        </w:rPr>
        <w:t>1</w:t>
      </w:r>
      <w:r>
        <w:rPr>
          <w:rFonts w:hint="eastAsia" w:ascii="楷体" w:hAnsi="楷体" w:eastAsia="楷体" w:cs="楷体"/>
          <w:sz w:val="22"/>
          <w:szCs w:val="28"/>
        </w:rPr>
        <w:t>日在社区文化广场举办以“弘扬中华优秀传统文化和时代精神”为主题的中秋文化节系列活动。现面向广大社区居民有奖征集策划方案。</w:t>
      </w:r>
    </w:p>
    <w:p>
      <w:pPr>
        <w:ind w:left="218" w:leftChars="104" w:firstLine="440" w:firstLineChars="200"/>
        <w:rPr>
          <w:rFonts w:ascii="楷体" w:hAnsi="楷体" w:eastAsia="楷体" w:cs="楷体"/>
          <w:sz w:val="22"/>
          <w:szCs w:val="28"/>
        </w:rPr>
      </w:pPr>
      <w:r>
        <w:rPr>
          <w:rFonts w:hint="eastAsia" w:ascii="楷体" w:hAnsi="楷体" w:eastAsia="楷体" w:cs="楷体"/>
          <w:sz w:val="22"/>
          <w:szCs w:val="28"/>
        </w:rPr>
        <w:t>征集内容：举行哪些类型的活动?如何确定组织管理团队?邀请哪些嘉宾参与?如何更好落实主题要求?如何保障资金的有效利用?其他有价值的方面。</w:t>
      </w:r>
    </w:p>
    <w:p>
      <w:pPr>
        <w:ind w:left="218" w:leftChars="104" w:firstLine="440" w:firstLineChars="200"/>
        <w:rPr>
          <w:rFonts w:ascii="楷体" w:hAnsi="楷体" w:eastAsia="楷体" w:cs="楷体"/>
          <w:sz w:val="22"/>
          <w:szCs w:val="28"/>
        </w:rPr>
      </w:pPr>
      <w:r>
        <w:rPr>
          <w:rFonts w:hint="eastAsia" w:ascii="楷体" w:hAnsi="楷体" w:eastAsia="楷体" w:cs="楷体"/>
          <w:sz w:val="22"/>
          <w:szCs w:val="28"/>
        </w:rPr>
        <w:t>具体要求:契合主题，建议具体祥实，可操作性强。</w:t>
      </w:r>
    </w:p>
    <w:p>
      <w:pPr>
        <w:ind w:left="218" w:leftChars="104" w:firstLine="440" w:firstLineChars="200"/>
        <w:rPr>
          <w:rFonts w:ascii="楷体" w:hAnsi="楷体" w:eastAsia="楷体" w:cs="楷体"/>
          <w:sz w:val="22"/>
          <w:szCs w:val="28"/>
        </w:rPr>
      </w:pPr>
      <w:r>
        <w:rPr>
          <w:rFonts w:hint="eastAsia" w:ascii="楷体" w:hAnsi="楷体" w:eastAsia="楷体" w:cs="楷体"/>
          <w:sz w:val="22"/>
          <w:szCs w:val="28"/>
        </w:rPr>
        <w:t>提交渠道:社区微信群，社区QQ群，微信公众号，居委会信箱或电子邮箱。</w:t>
      </w:r>
    </w:p>
    <w:p>
      <w:pPr>
        <w:jc w:val="right"/>
        <w:rPr>
          <w:rFonts w:ascii="楷体" w:hAnsi="楷体" w:eastAsia="楷体" w:cs="楷体"/>
          <w:sz w:val="22"/>
          <w:szCs w:val="28"/>
        </w:rPr>
      </w:pPr>
      <w:r>
        <w:rPr>
          <w:rFonts w:hint="eastAsia" w:ascii="楷体" w:hAnsi="楷体" w:eastAsia="楷体" w:cs="楷体"/>
          <w:sz w:val="22"/>
          <w:szCs w:val="28"/>
        </w:rPr>
        <w:t>××社区居委会</w:t>
      </w:r>
    </w:p>
    <w:p>
      <w:pPr>
        <w:jc w:val="right"/>
        <w:rPr>
          <w:rFonts w:ascii="楷体" w:hAnsi="楷体" w:eastAsia="楷体" w:cs="楷体"/>
          <w:sz w:val="22"/>
          <w:szCs w:val="28"/>
        </w:rPr>
      </w:pPr>
      <w:r>
        <w:rPr>
          <w:rFonts w:hint="eastAsia" w:ascii="楷体" w:hAnsi="楷体" w:eastAsia="楷体" w:cs="楷体"/>
          <w:sz w:val="22"/>
          <w:szCs w:val="28"/>
        </w:rPr>
        <w:t>202</w:t>
      </w:r>
      <w:r>
        <w:rPr>
          <w:rFonts w:ascii="楷体" w:hAnsi="楷体" w:eastAsia="楷体" w:cs="楷体"/>
          <w:sz w:val="22"/>
          <w:szCs w:val="28"/>
        </w:rPr>
        <w:t>1</w:t>
      </w:r>
      <w:r>
        <w:rPr>
          <w:rFonts w:hint="eastAsia" w:ascii="楷体" w:hAnsi="楷体" w:eastAsia="楷体" w:cs="楷体"/>
          <w:sz w:val="22"/>
          <w:szCs w:val="28"/>
        </w:rPr>
        <w:t>年</w:t>
      </w:r>
      <w:r>
        <w:rPr>
          <w:rFonts w:ascii="楷体" w:hAnsi="楷体" w:eastAsia="楷体" w:cs="楷体"/>
          <w:sz w:val="22"/>
          <w:szCs w:val="28"/>
        </w:rPr>
        <w:t>9</w:t>
      </w:r>
      <w:r>
        <w:rPr>
          <w:rFonts w:hint="eastAsia" w:ascii="楷体" w:hAnsi="楷体" w:eastAsia="楷体" w:cs="楷体"/>
          <w:sz w:val="22"/>
          <w:szCs w:val="28"/>
        </w:rPr>
        <w:t>月</w:t>
      </w:r>
      <w:r>
        <w:rPr>
          <w:rFonts w:ascii="楷体" w:hAnsi="楷体" w:eastAsia="楷体" w:cs="楷体"/>
          <w:sz w:val="22"/>
          <w:szCs w:val="28"/>
        </w:rPr>
        <w:t>17</w:t>
      </w:r>
      <w:r>
        <w:rPr>
          <w:rFonts w:hint="eastAsia" w:ascii="楷体" w:hAnsi="楷体" w:eastAsia="楷体" w:cs="楷体"/>
          <w:sz w:val="22"/>
          <w:szCs w:val="28"/>
        </w:rPr>
        <w:t>日</w:t>
      </w:r>
    </w:p>
    <w:p>
      <w:pPr>
        <w:ind w:firstLine="220" w:firstLineChars="100"/>
        <w:rPr>
          <w:rFonts w:ascii="宋体" w:hAnsi="宋体" w:eastAsia="宋体" w:cs="宋体"/>
          <w:sz w:val="22"/>
          <w:szCs w:val="28"/>
        </w:rPr>
      </w:pPr>
      <w:r>
        <w:rPr>
          <w:rFonts w:hint="eastAsia" w:ascii="宋体" w:hAnsi="宋体" w:eastAsia="宋体" w:cs="宋体"/>
          <w:sz w:val="22"/>
          <w:szCs w:val="28"/>
        </w:rPr>
        <w:t>（1）分析举办方案征集活动对发展基层民主的意义。</w:t>
      </w:r>
    </w:p>
    <w:p>
      <w:pPr>
        <w:ind w:firstLine="220" w:firstLineChars="100"/>
        <w:rPr>
          <w:rFonts w:ascii="宋体" w:hAnsi="宋体" w:eastAsia="宋体" w:cs="宋体"/>
          <w:sz w:val="22"/>
          <w:szCs w:val="28"/>
        </w:rPr>
      </w:pPr>
      <w:r>
        <w:rPr>
          <w:rFonts w:hint="eastAsia" w:ascii="宋体" w:hAnsi="宋体" w:eastAsia="宋体" w:cs="宋体"/>
          <w:sz w:val="22"/>
          <w:szCs w:val="28"/>
        </w:rPr>
        <w:t>（2）请你就居民关心的“资金利用和资金管理两方面”问题提出自己的建议。</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19.（1</w:t>
      </w:r>
      <w:r>
        <w:rPr>
          <w:rFonts w:ascii="宋体" w:hAnsi="宋体" w:eastAsia="宋体" w:cs="宋体"/>
          <w:sz w:val="22"/>
          <w:szCs w:val="28"/>
        </w:rPr>
        <w:t>3</w:t>
      </w:r>
      <w:r>
        <w:rPr>
          <w:rFonts w:hint="eastAsia" w:ascii="宋体" w:hAnsi="宋体" w:eastAsia="宋体" w:cs="宋体"/>
          <w:sz w:val="22"/>
          <w:szCs w:val="28"/>
        </w:rPr>
        <w:t>分）阅读材料，完成下列要求。</w:t>
      </w:r>
    </w:p>
    <w:p>
      <w:pPr>
        <w:ind w:left="218" w:leftChars="104" w:firstLine="440" w:firstLineChars="200"/>
        <w:rPr>
          <w:rFonts w:ascii="楷体" w:hAnsi="楷体" w:eastAsia="楷体" w:cs="楷体"/>
          <w:sz w:val="22"/>
          <w:szCs w:val="28"/>
        </w:rPr>
      </w:pPr>
      <w:r>
        <w:rPr>
          <w:rFonts w:hint="eastAsia" w:ascii="楷体" w:hAnsi="楷体" w:eastAsia="楷体" w:cs="楷体"/>
          <w:sz w:val="22"/>
          <w:szCs w:val="28"/>
        </w:rPr>
        <w:t xml:space="preserve">材料一 </w:t>
      </w:r>
      <w:r>
        <w:rPr>
          <w:rFonts w:ascii="楷体" w:hAnsi="楷体" w:eastAsia="楷体" w:cs="楷体"/>
          <w:sz w:val="22"/>
          <w:szCs w:val="28"/>
        </w:rPr>
        <w:t xml:space="preserve"> </w:t>
      </w:r>
      <w:r>
        <w:rPr>
          <w:rFonts w:hint="eastAsia" w:ascii="楷体" w:hAnsi="楷体" w:eastAsia="楷体" w:cs="楷体"/>
          <w:sz w:val="22"/>
          <w:szCs w:val="28"/>
        </w:rPr>
        <w:t>长江经济带发展相关指标</w:t>
      </w:r>
    </w:p>
    <w:tbl>
      <w:tblPr>
        <w:tblStyle w:val="9"/>
        <w:tblW w:w="993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91"/>
        <w:gridCol w:w="1798"/>
        <w:gridCol w:w="1560"/>
        <w:gridCol w:w="1701"/>
        <w:gridCol w:w="2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2291" w:type="dxa"/>
            <w:tcBorders>
              <w:top w:val="single" w:color="000000" w:sz="8" w:space="0"/>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指标</w:t>
            </w:r>
          </w:p>
        </w:tc>
        <w:tc>
          <w:tcPr>
            <w:tcW w:w="1798" w:type="dxa"/>
            <w:tcBorders>
              <w:top w:val="single" w:color="000000" w:sz="8" w:space="0"/>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单位</w:t>
            </w:r>
          </w:p>
        </w:tc>
        <w:tc>
          <w:tcPr>
            <w:tcW w:w="1560" w:type="dxa"/>
            <w:tcBorders>
              <w:top w:val="single" w:color="000000" w:sz="8" w:space="0"/>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2016年绝对量</w:t>
            </w:r>
          </w:p>
        </w:tc>
        <w:tc>
          <w:tcPr>
            <w:tcW w:w="1701" w:type="dxa"/>
            <w:tcBorders>
              <w:top w:val="single" w:color="000000" w:sz="8" w:space="0"/>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2019年绝对量</w:t>
            </w:r>
          </w:p>
        </w:tc>
        <w:tc>
          <w:tcPr>
            <w:tcW w:w="2580" w:type="dxa"/>
            <w:tcBorders>
              <w:top w:val="single" w:color="000000" w:sz="8" w:space="0"/>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2017—2019年累计增长（%）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2291"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技术市场成交额</w:t>
            </w:r>
          </w:p>
        </w:tc>
        <w:tc>
          <w:tcPr>
            <w:tcW w:w="1798"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亿元</w:t>
            </w:r>
          </w:p>
        </w:tc>
        <w:tc>
          <w:tcPr>
            <w:tcW w:w="156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3446</w:t>
            </w:r>
          </w:p>
        </w:tc>
        <w:tc>
          <w:tcPr>
            <w:tcW w:w="1701"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7879</w:t>
            </w:r>
          </w:p>
        </w:tc>
        <w:tc>
          <w:tcPr>
            <w:tcW w:w="258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128.6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2291"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服务业增加值占地区生产总值比重</w:t>
            </w:r>
          </w:p>
        </w:tc>
        <w:tc>
          <w:tcPr>
            <w:tcW w:w="1798"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w:t>
            </w:r>
          </w:p>
        </w:tc>
        <w:tc>
          <w:tcPr>
            <w:tcW w:w="156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50.3</w:t>
            </w:r>
          </w:p>
        </w:tc>
        <w:tc>
          <w:tcPr>
            <w:tcW w:w="1701"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53.5</w:t>
            </w:r>
          </w:p>
        </w:tc>
        <w:tc>
          <w:tcPr>
            <w:tcW w:w="258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2291"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城乡居民人均可支配收入之比</w:t>
            </w:r>
          </w:p>
        </w:tc>
        <w:tc>
          <w:tcPr>
            <w:tcW w:w="1798"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农村居民收入=1</w:t>
            </w:r>
          </w:p>
        </w:tc>
        <w:tc>
          <w:tcPr>
            <w:tcW w:w="156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2.75</w:t>
            </w:r>
          </w:p>
        </w:tc>
        <w:tc>
          <w:tcPr>
            <w:tcW w:w="1701"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2.68</w:t>
            </w:r>
          </w:p>
        </w:tc>
        <w:tc>
          <w:tcPr>
            <w:tcW w:w="258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-0.07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2291"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万元地区生产总值能耗</w:t>
            </w:r>
          </w:p>
        </w:tc>
        <w:tc>
          <w:tcPr>
            <w:tcW w:w="1798"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吨标准煤/万元</w:t>
            </w:r>
          </w:p>
        </w:tc>
        <w:tc>
          <w:tcPr>
            <w:tcW w:w="156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0.48</w:t>
            </w:r>
          </w:p>
        </w:tc>
        <w:tc>
          <w:tcPr>
            <w:tcW w:w="1701"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0.42</w:t>
            </w:r>
          </w:p>
        </w:tc>
        <w:tc>
          <w:tcPr>
            <w:tcW w:w="258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2291"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细颗粒物平均浓度</w:t>
            </w:r>
          </w:p>
        </w:tc>
        <w:tc>
          <w:tcPr>
            <w:tcW w:w="1798"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微克/立方米</w:t>
            </w:r>
          </w:p>
        </w:tc>
        <w:tc>
          <w:tcPr>
            <w:tcW w:w="156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42</w:t>
            </w:r>
          </w:p>
        </w:tc>
        <w:tc>
          <w:tcPr>
            <w:tcW w:w="1701"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37</w:t>
            </w:r>
          </w:p>
        </w:tc>
        <w:tc>
          <w:tcPr>
            <w:tcW w:w="258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-11.9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2291"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货物贸易进出口总额</w:t>
            </w:r>
          </w:p>
        </w:tc>
        <w:tc>
          <w:tcPr>
            <w:tcW w:w="1798"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亿美元</w:t>
            </w:r>
          </w:p>
        </w:tc>
        <w:tc>
          <w:tcPr>
            <w:tcW w:w="156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15674</w:t>
            </w:r>
          </w:p>
        </w:tc>
        <w:tc>
          <w:tcPr>
            <w:tcW w:w="1701"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20329</w:t>
            </w:r>
          </w:p>
        </w:tc>
        <w:tc>
          <w:tcPr>
            <w:tcW w:w="258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29.7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2291"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基本养老保险参保人数</w:t>
            </w:r>
          </w:p>
        </w:tc>
        <w:tc>
          <w:tcPr>
            <w:tcW w:w="1798"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万人</w:t>
            </w:r>
          </w:p>
        </w:tc>
        <w:tc>
          <w:tcPr>
            <w:tcW w:w="156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37994</w:t>
            </w:r>
          </w:p>
        </w:tc>
        <w:tc>
          <w:tcPr>
            <w:tcW w:w="1701"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42311</w:t>
            </w:r>
          </w:p>
        </w:tc>
        <w:tc>
          <w:tcPr>
            <w:tcW w:w="258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2291" w:type="dxa"/>
            <w:tcBorders>
              <w:top w:val="nil"/>
              <w:left w:val="single" w:color="000000" w:sz="8" w:space="0"/>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九年义务教育师生比</w:t>
            </w:r>
          </w:p>
        </w:tc>
        <w:tc>
          <w:tcPr>
            <w:tcW w:w="1798"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教师=1</w:t>
            </w:r>
          </w:p>
        </w:tc>
        <w:tc>
          <w:tcPr>
            <w:tcW w:w="156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15.96</w:t>
            </w:r>
          </w:p>
        </w:tc>
        <w:tc>
          <w:tcPr>
            <w:tcW w:w="1701"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15.78</w:t>
            </w:r>
          </w:p>
        </w:tc>
        <w:tc>
          <w:tcPr>
            <w:tcW w:w="2580" w:type="dxa"/>
            <w:tcBorders>
              <w:top w:val="nil"/>
              <w:left w:val="nil"/>
              <w:bottom w:val="single" w:color="000000" w:sz="8" w:space="0"/>
              <w:right w:val="single" w:color="000000" w:sz="8" w:space="0"/>
            </w:tcBorders>
            <w:tcMar>
              <w:top w:w="75" w:type="dxa"/>
              <w:left w:w="120" w:type="dxa"/>
              <w:bottom w:w="75" w:type="dxa"/>
              <w:right w:w="120" w:type="dxa"/>
            </w:tcMar>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-0.18</w:t>
            </w:r>
          </w:p>
        </w:tc>
      </w:tr>
    </w:tbl>
    <w:p>
      <w:pPr>
        <w:ind w:left="210" w:leftChars="100" w:firstLine="440" w:firstLineChars="200"/>
        <w:rPr>
          <w:rFonts w:ascii="楷体" w:hAnsi="楷体" w:eastAsia="楷体" w:cs="楷体"/>
          <w:sz w:val="22"/>
          <w:szCs w:val="28"/>
        </w:rPr>
      </w:pPr>
      <w:r>
        <w:rPr>
          <w:rFonts w:hint="eastAsia" w:ascii="楷体" w:hAnsi="楷体" w:eastAsia="楷体" w:cs="楷体"/>
          <w:sz w:val="22"/>
          <w:szCs w:val="28"/>
        </w:rPr>
        <w:t xml:space="preserve">材料二 </w:t>
      </w:r>
      <w:r>
        <w:rPr>
          <w:rFonts w:ascii="楷体" w:hAnsi="楷体" w:eastAsia="楷体" w:cs="楷体"/>
          <w:sz w:val="22"/>
          <w:szCs w:val="28"/>
        </w:rPr>
        <w:t xml:space="preserve"> </w:t>
      </w:r>
      <w:r>
        <w:rPr>
          <w:rFonts w:hint="eastAsia" w:ascii="楷体" w:hAnsi="楷体" w:eastAsia="楷体" w:cs="楷体"/>
          <w:sz w:val="22"/>
          <w:szCs w:val="28"/>
        </w:rPr>
        <w:t>长江经济带堪称中国的“黄金水道”，在构建新发展格局中，长江经济带既有得天独厚的优势，也有责无旁贷的使命。重庆市是长江中上游生态防线上的重要一环，为全力打赢污染防治攻坚战，重庆市全面系统治水、治土、治气，守住山头、管住斧头、护好源头，进行全域流域治理，推进“山水林田湖草”一体治理。为破解“化工围江”困局，重庆市大力推进沿江化工企业关、转、搬、改，实现长江干流沿线两岸1公里及支流流域内入江工业污染、网箱养殖、非法排污口和码头全部清零；同时设立专项资金，引导支持化工企业向绿色化、集聚化、循环化、精细化、高端化转型。</w:t>
      </w:r>
    </w:p>
    <w:p>
      <w:pPr>
        <w:ind w:firstLine="220" w:firstLineChars="100"/>
        <w:rPr>
          <w:rFonts w:ascii="宋体" w:hAnsi="宋体" w:eastAsia="宋体" w:cs="宋体"/>
          <w:sz w:val="22"/>
          <w:szCs w:val="28"/>
        </w:rPr>
      </w:pPr>
      <w:r>
        <w:rPr>
          <w:rFonts w:hint="eastAsia" w:ascii="宋体" w:hAnsi="宋体" w:eastAsia="宋体" w:cs="宋体"/>
          <w:sz w:val="22"/>
          <w:szCs w:val="28"/>
        </w:rPr>
        <w:t>(1)结合材料一，概括长江经济带发展取得的成果。（4分）</w:t>
      </w:r>
    </w:p>
    <w:p>
      <w:pPr>
        <w:ind w:firstLine="220" w:firstLineChars="100"/>
        <w:rPr>
          <w:rFonts w:hint="eastAsia" w:ascii="宋体" w:hAnsi="宋体" w:eastAsia="宋体" w:cs="宋体"/>
          <w:sz w:val="22"/>
          <w:szCs w:val="28"/>
        </w:rPr>
      </w:pPr>
      <w:r>
        <w:rPr>
          <w:rFonts w:hint="eastAsia" w:ascii="宋体" w:hAnsi="宋体" w:eastAsia="宋体" w:cs="宋体"/>
          <w:sz w:val="22"/>
          <w:szCs w:val="28"/>
        </w:rPr>
        <w:t>(2)结合材料二，运用经济生活知识，说明重庆市是如何推动经济高质量发展的。（9分）</w:t>
      </w:r>
    </w:p>
    <w:p>
      <w:pPr>
        <w:rPr>
          <w:rFonts w:hint="eastAsia" w:ascii="宋体" w:hAnsi="宋体" w:eastAsia="宋体" w:cs="宋体"/>
          <w:sz w:val="22"/>
          <w:szCs w:val="28"/>
        </w:rPr>
      </w:pPr>
      <w:r>
        <w:rPr>
          <w:rFonts w:hint="eastAsia" w:ascii="宋体" w:hAnsi="宋体" w:eastAsia="宋体" w:cs="宋体"/>
          <w:sz w:val="22"/>
          <w:szCs w:val="28"/>
        </w:rPr>
        <w:br w:type="page"/>
      </w:r>
    </w:p>
    <w:p>
      <w:pPr>
        <w:jc w:val="left"/>
        <w:rPr>
          <w:rFonts w:ascii="黑体" w:hAnsi="黑体" w:eastAsia="黑体" w:cs="黑体"/>
          <w:color w:val="FFFFFF" w:themeColor="background1"/>
          <w:sz w:val="22"/>
          <w:szCs w:val="28"/>
          <w:highlight w:val="black"/>
          <w14:textFill>
            <w14:solidFill>
              <w14:schemeClr w14:val="bg1"/>
            </w14:solidFill>
          </w14:textFill>
        </w:rPr>
      </w:pPr>
      <w:r>
        <w:rPr>
          <w:rFonts w:hint="eastAsia" w:ascii="黑体" w:hAnsi="黑体" w:eastAsia="黑体" w:cs="黑体"/>
          <w:color w:val="FFFFFF" w:themeColor="background1"/>
          <w:sz w:val="22"/>
          <w:szCs w:val="28"/>
          <w:highlight w:val="black"/>
          <w14:textFill>
            <w14:solidFill>
              <w14:schemeClr w14:val="bg1"/>
            </w14:solidFill>
          </w14:textFill>
        </w:rPr>
        <w:t>★秘密·2021年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5</w:t>
      </w:r>
      <w:r>
        <w:rPr>
          <w:rFonts w:hint="eastAsia" w:ascii="黑体" w:hAnsi="黑体" w:eastAsia="黑体" w:cs="黑体"/>
          <w:color w:val="FFFFFF" w:themeColor="background1"/>
          <w:sz w:val="22"/>
          <w:szCs w:val="28"/>
          <w:highlight w:val="black"/>
          <w14:textFill>
            <w14:solidFill>
              <w14:schemeClr w14:val="bg1"/>
            </w14:solidFill>
          </w14:textFill>
        </w:rPr>
        <w:t>日1</w:t>
      </w:r>
      <w:r>
        <w:rPr>
          <w:rFonts w:ascii="黑体" w:hAnsi="黑体" w:eastAsia="黑体" w:cs="黑体"/>
          <w:color w:val="FFFFFF" w:themeColor="background1"/>
          <w:sz w:val="22"/>
          <w:szCs w:val="28"/>
          <w:highlight w:val="black"/>
          <w14:textFill>
            <w14:solidFill>
              <w14:schemeClr w14:val="bg1"/>
            </w14:solidFill>
          </w14:textFill>
        </w:rPr>
        <w:t>5</w:t>
      </w:r>
      <w:r>
        <w:rPr>
          <w:rFonts w:hint="eastAsia" w:ascii="黑体" w:hAnsi="黑体" w:eastAsia="黑体" w:cs="黑体"/>
          <w:color w:val="FFFFFF" w:themeColor="background1"/>
          <w:sz w:val="22"/>
          <w:szCs w:val="28"/>
          <w:highlight w:val="black"/>
          <w14:textFill>
            <w14:solidFill>
              <w14:schemeClr w14:val="bg1"/>
            </w14:solidFill>
          </w14:textFill>
        </w:rPr>
        <w:t>：</w:t>
      </w:r>
      <w:r>
        <w:rPr>
          <w:rFonts w:ascii="黑体" w:hAnsi="黑体" w:eastAsia="黑体" w:cs="黑体"/>
          <w:color w:val="FFFFFF" w:themeColor="background1"/>
          <w:sz w:val="22"/>
          <w:szCs w:val="28"/>
          <w:highlight w:val="black"/>
          <w14:textFill>
            <w14:solidFill>
              <w14:schemeClr w14:val="bg1"/>
            </w14:solidFill>
          </w14:textFill>
        </w:rPr>
        <w:t>4</w:t>
      </w:r>
      <w:r>
        <w:rPr>
          <w:rFonts w:hint="eastAsia" w:ascii="黑体" w:hAnsi="黑体" w:eastAsia="黑体" w:cs="黑体"/>
          <w:color w:val="FFFFFF" w:themeColor="background1"/>
          <w:sz w:val="22"/>
          <w:szCs w:val="28"/>
          <w:highlight w:val="black"/>
          <w14:textFill>
            <w14:solidFill>
              <w14:schemeClr w14:val="bg1"/>
            </w14:solidFill>
          </w14:textFill>
        </w:rPr>
        <w:t>5前</w:t>
      </w:r>
    </w:p>
    <w:p>
      <w:pPr>
        <w:jc w:val="center"/>
        <w:rPr>
          <w:rFonts w:ascii="黑体" w:hAnsi="黑体" w:eastAsia="黑体" w:cs="黑体"/>
          <w:sz w:val="36"/>
          <w:szCs w:val="44"/>
        </w:rPr>
      </w:pPr>
      <w:r>
        <w:rPr>
          <w:rFonts w:hint="eastAsia" w:ascii="黑体" w:hAnsi="黑体" w:eastAsia="黑体" w:cs="黑体"/>
          <w:sz w:val="36"/>
          <w:szCs w:val="44"/>
        </w:rPr>
        <w:t>重庆市202</w:t>
      </w:r>
      <w:r>
        <w:rPr>
          <w:rFonts w:ascii="黑体" w:hAnsi="黑体" w:eastAsia="黑体" w:cs="黑体"/>
          <w:sz w:val="36"/>
          <w:szCs w:val="44"/>
        </w:rPr>
        <w:t>1</w:t>
      </w:r>
      <w:r>
        <w:rPr>
          <w:rFonts w:hint="eastAsia" w:ascii="黑体" w:hAnsi="黑体" w:eastAsia="黑体" w:cs="黑体"/>
          <w:sz w:val="36"/>
          <w:szCs w:val="44"/>
        </w:rPr>
        <w:t>-202</w:t>
      </w:r>
      <w:r>
        <w:rPr>
          <w:rFonts w:ascii="黑体" w:hAnsi="黑体" w:eastAsia="黑体" w:cs="黑体"/>
          <w:sz w:val="36"/>
          <w:szCs w:val="44"/>
        </w:rPr>
        <w:t>2</w:t>
      </w:r>
      <w:r>
        <w:rPr>
          <w:rFonts w:hint="eastAsia" w:ascii="黑体" w:hAnsi="黑体" w:eastAsia="黑体" w:cs="黑体"/>
          <w:sz w:val="36"/>
          <w:szCs w:val="44"/>
        </w:rPr>
        <w:t>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rFonts w:hint="eastAsia" w:ascii="黑体" w:hAnsi="黑体" w:eastAsia="黑体" w:cs="黑体"/>
          <w:b/>
          <w:bCs/>
          <w:sz w:val="44"/>
          <w:szCs w:val="52"/>
        </w:rPr>
        <w:t>高三思想政治答案及评分标准</w:t>
      </w:r>
    </w:p>
    <w:p>
      <w:pPr>
        <w:jc w:val="center"/>
        <w:rPr>
          <w:rFonts w:ascii="宋体" w:hAnsi="宋体" w:eastAsia="宋体" w:cs="宋体"/>
          <w:sz w:val="24"/>
          <w:szCs w:val="32"/>
        </w:rPr>
      </w:pPr>
    </w:p>
    <w:p>
      <w:pPr>
        <w:jc w:val="center"/>
        <w:rPr>
          <w:rFonts w:ascii="宋体" w:hAnsi="宋体" w:eastAsia="宋体" w:cs="宋体"/>
          <w:sz w:val="24"/>
          <w:szCs w:val="32"/>
        </w:rPr>
      </w:pPr>
      <w:r>
        <w:rPr>
          <w:rFonts w:hint="eastAsia" w:ascii="宋体" w:hAnsi="宋体" w:eastAsia="宋体" w:cs="宋体"/>
          <w:sz w:val="24"/>
          <w:szCs w:val="32"/>
        </w:rPr>
        <w:t>【命题单位：重庆缙云教育联盟】</w:t>
      </w:r>
    </w:p>
    <w:p>
      <w:pPr>
        <w:jc w:val="center"/>
        <w:rPr>
          <w:rFonts w:ascii="宋体" w:hAnsi="宋体" w:eastAsia="宋体" w:cs="宋体"/>
          <w:sz w:val="24"/>
          <w:szCs w:val="32"/>
        </w:rPr>
      </w:pPr>
    </w:p>
    <w:p>
      <w:pPr>
        <w:jc w:val="center"/>
        <w:rPr>
          <w:rFonts w:ascii="宋体" w:hAnsi="宋体" w:eastAsia="宋体" w:cs="宋体"/>
          <w:sz w:val="24"/>
          <w:szCs w:val="32"/>
        </w:rPr>
      </w:pP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D（AB：“近年来某村通过土地流转、务工带动及入股分红等多种方式”可以看出保障农民土地承包权，农村土地所有权是国家拥有，①错误，则AB错误。CD：“打造小龙虾、蔓三七等大型产业基地，带村民增收致富”说明该村不断优化升级产业结构，以此带动村民收入提高，应由④推出②，C错误，D正确。故本题选D。）</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B（①：个人破产制度，可以对未能清偿的债务进行豁免，体现了能为市场主体遭遇债务危机提供后续保障，①说法正确。④：个人破产制度让“诚信而不幸”的个人获得了重新创业、东山再起的机会，但破产人如有通过欺诈手段获得免除未清偿债务的行为，法院任何时侯都能撤销对其债务豁免的裁定，体现了以诚信为前提，意在营造创新创业的环境，④说法正确。②：完整对接的说法脱离了我国国情，②说法错误。③：实行个人破产制度不能降低创业风险，③说法错误。）</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B（①：在开放市场条件下，当甲国发生通货膨胀时，若不考虑其他因素，甲国货币贬值，需求旺盛，为了满足国内市场需求，会增加进口，美元需求会增加，①正确。④：当甲国发生通货膨胀时，若不考虑其他因素，甲国货币贬值，需求旺盛，国内供不应求，出口商品会减少，美元供给减少，④正确。②③：当甲国发生通货膨胀时，若不考虑其他因素，甲国货币贬值，需求旺盛，国内供不应求，进口商品会增加，出口商品会减少，导致美元升值，美元供给减少，甲国货币对美元的汇率会下降，②③错误。）</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C（ABD：材料说明该地转变发展方式，对产品深加工提高附加值，提高了经济效益，材料不涉及提高了社会劳动生产率，扩大了商品的使用价值，也不涉及商品间的互补策略，ABD不符合题意。C：“后来该地将桑葚加工成桑葚面条，面条卖得很好，提高了农业效益，增加了农民收入”，这说明该地农民通过深加工提高了农产品附加值，C正确。）</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C（C：材料中2020年“全国消费促进月”活动于2020年9月9日——10月8日举行，本次活动以促消费助力畅通“双循环”，传递出了新型消费不断涌现、节俭消费深入人心等积极信号，表明消费方式多元化，消费市场逐渐回暖，C符合题意。AB：材料中主要强调发挥消费对发展的重要作用，没有涉及人们生活水平提高，消费欲望强烈，也没有涉及绿色消费成为时尚，传统消费创新发展，A、B不符合题意。D：消费对拉动经济增长起着重要作用，但不是决定性因素，D说法错误。）</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D（A：效率与公平既对立又统一，仅仅看到公平与效率是对立的观点是片面的，故A错误。B：材料强调公平的作用，不体现效率是实现公平的物质前提，B与题意不符。C：公平和效率作为矛盾的双方既是相互对立，又是相互依存、相辅相成的而不是互补的关系，C排除。D：经济学家詹姆斯在《公平是最大的动力》一书中写到：公平是对人格的尊重，可以使一个人最大限度地释放自己的能量，促进社会财富的增加。这说明公平是提高效率的保证，劳动者只有在利益和权利分配上实现公平，才能激发出极大的积极性和创造性，去追求更高的效率，D符合题意。）</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A（①：图甲需求曲线左移，表示价格不变，需求减少。高铁与民航互为替代品，重庆至香港高铁开通，消费者会增加乘高铁出行的需求，在机票价格不变的情况下，消费者会减少对重庆至香港航空客运的需求，这与图甲相符，①正确。②：图乙表示价格下降，需求增加。西南医院烧伤科高值医用耗材实施带量采购，这会导致该类耗材价格下降，需求增加，这与图乙相符，②正确。③：图丙表示价格上升，需求增加。某市增加充电桩、换电站等基础设施后，新能源汽车在价格不变的情况下，需求会增加变化，这与图丙不符，③排除。④：图丁需求曲线右移，表示价格不变,需求增加。对澳洲的葡萄酒征收惩罚性关税后，会导致出口我国的澳洲葡萄酒价格上升，国内消费者对其需求下降，该选项的变化与图丁不符，④排除。）</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C（A：“人类社会的存在和发展离不开各种社会规范”强调的是社会规范对社会的存在和发展的作用，材料未涉及，A不符合题意。B：“法是人类社会发展到一定历史阶段的产物”概括了法的产生，材料未涉及，B不符合题意。C：马克思、恩格斯指出：“你们的观念本身是资产阶级的生产关系和所有制关系的产物。正像你们的法，不过是被奉为法律的，你们这个阶级的意志一样，而这种意志的内容是由你们这个阶级的物质生活条件来决定的。”这说明了法体现统治阶级意志，生产方式是其决定因素，C符合题意。D：材料未涉及社会主义法与资本主义法的比较问题，“社会主义法比资本主义法更能够适应经济基础”说法笼统，要具体看适应什么样的经济基础，D排除。）</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B（②③：基层协商民主建设不一定有效解决国家和社会治理中的所有问题；也不是是实现政治稳定、社会和谐的根本保证，故②③错误。①④：民主恳谈与预算审查相结合的“参与式”改革，无疑启动了我国基层预算民主的按钮，推进基层协商民主建设，能够架构起公众与决策者之间的对话机制，有利于化解矛盾、凝聚共识、聚力攻坚，故①④正确。）</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C（①：考古发掘的文物古迹对历史的研究有积极影响，但是对历史的研究依赖于考古发掘的文物古迹，夸大了考古发掘的文物古迹的作用。①错误。②：受传统“灵魂不死”观念和“事死如事生”礼制思想影响，我国汉代厚葬成风，说明“灵魂不死”的观念对我国丧葬文化影响深刻，②之前。③：材料没有体现“事死如事生”礼制思想影响着特定的社会阶层，③排除。④：传统丧葬文化之前的主要价值是影响丧葬风俗，但现在对研究西汉贵族文化和经济发展有重大意义，说明传统丧葬文化的价值随着社会存在的变化而变化，④排除。）</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B（①：马克思指出要从物质生活的矛盾中去解释意识，而不是以意识为依据，表明社会意识对社会存在具有依赖性，①符合题意。②：思想变革是时代变革的先导，与马克思强调的“判断一个变革时代不能以它的意识为依据”相悖，②不符合题意。③：生产方式包括生产力与生产关系，马克思指出要从生产力与生产关系之间的冲突中去解释意识，而不是以意识为依据去判断一个变革时代，表明生产方式对整个社会生活具有决定作用，③符合题意。④：材料强调社会意识离不开社会存在以及生产方式对社会生活的作用，不涉及社会历史的构成，④排除。）</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A（①：博物馆是这座城市的基因库，收藏着城市的气味，说明博物馆的藏品里可以显露出一座城市的文化特征，①正确。②：观众心中载着乡愁有助于留住城市记忆，感悟城市文化，但不是②观众心中载着乡愁，才能厘清城市文化的脉络及岁月流转，该选项的说法太绝对，②不选。③：博物馆文化是精神成果，不是物质成果，③错误。④：将博物馆与教育相结合，建立起博物馆与学校的长效合作机制，可以增强学生对本城市文化的了解，继承并弘扬优秀传统文化，④正确。）</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C（②④：生物质能是唯一的可再生碳源，它直接或间接来源于绿色植物的光合作用，可转化为常规的固态、液态和气态燃料，取之不尽、用之不竭，如我国南方地区，许多糖厂利用甘蔗渣发电。可见，甘蔗渣能发电说明甘蔗渣的功能属性是满足人们绿色能源需要的基础，事物价值的实现建立在物与人关系的基础上，②④符合题意。①：劳动是一切商品价值的源泉，因此，人们对绿色能源的需要是甘蔗渣具有价值的源泉的观点是错误的，①排除。③：人们在创新想法指导下通过实践推动了甘蔗渣价值的转变，该选项夸大了意识的作用，③排除。）</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C（①：山水与文人创作之间可能会存在联系，但不一定是必然的稳定联系，故①排除。②：文人通过山水作品，或展现对大自然的热爱，或畅谈青春年华的感受，或表达对国家命运的担忧……这体现了一双“思维的眼睛”，洞悉文人的内心世界。故②符合题意。③：材料中“山水激发文人的创作”体现物质可以改变精神，材料中“文人通过艺术创作表达自己的情感，塑造文化作品”体现精神可以变物质，故③符合题意。④：材料中提到山水可以激发文人的创作，这些作品又给人智慧、激励与豪气，没有涉及改造自然，同时应该是顺应自然，而不是顺从自然，故④排除。）</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D（①：追求物质的“个人奋斗”是可以实现的，一定的物质条件，是实现人生价值的基础，并不是没有意义的，①表述错误。②：物质财富和精神财富都重要，不能将创造物质财富与实现人生价值划等号，②错误。③④：“软世代”一词用于形容安于现状、不思进取，只图享乐的新一代青少年。享乐心理与虚荣并存，侵染无数本应挥洒青春书写辉煌的青少年。习近平总书记说：“幸福都是奋斗出来的，要撸起袖子加油干”，这表明青少年不做“软世代”，争当追梦人就要端正人生态度，坚定理想信念，在劳动和奉献中实现人生价值，走出狭隘自我的小天地，让青春在创新创造中闪光，③④正确。）</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①利用市场机制，市场通过价格的涨落及供求关系的变化能够自动、灵活、及时的调节资源配置。促使企业通过技术创新提高资源、能源利用效率，同时引导新产业的发展，发展低碳经济；②发挥政府的作用。政府合理确定碳排放量并逐步减少，从宏观上控制并减少了碳排放的总量；③完善市场体系，是完善我国市场经济体制、推动我国经济高质量发展的重要举措。（1</w:t>
      </w:r>
      <w:r>
        <w:rPr>
          <w:rFonts w:ascii="宋体" w:hAnsi="宋体" w:eastAsia="宋体" w:cs="宋体"/>
          <w:sz w:val="22"/>
          <w:szCs w:val="28"/>
        </w:rPr>
        <w:t>2</w:t>
      </w:r>
      <w:r>
        <w:rPr>
          <w:rFonts w:hint="eastAsia" w:ascii="宋体" w:hAnsi="宋体" w:eastAsia="宋体" w:cs="宋体"/>
          <w:sz w:val="22"/>
          <w:szCs w:val="28"/>
        </w:rPr>
        <w:t>分，一点4分）</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①发展是解决一切问题的基础和关键。开启实现现代化征程，都需要合理的增长，因此GDP增速需要保持在合理区间；②GDP是反映一国综合经济实力的重要指标，但不是唯一指标。我国经济发展已由高速增长阶段转向高质量发展阶段，要兼顾发展的质量效益、生态环境、协调发展、共享发展等；③受疫情影响，发展的不确定性因素增多，不设定目标，有利于我国更积极、主动、从容地应对各类风险挑战，增强发展的灵活性，为应对不确定性留有空间，是尊重经济规律的主动之举；④《规划纲要》中其他指标和GDP相关联，这些指标给出了具体增长数字，我们要努力使经济增速与潜在经济增长率保持一致。不设具体增速目标实际上是以定性表述为主，隐含定量表述。（1</w:t>
      </w:r>
      <w:r>
        <w:rPr>
          <w:rFonts w:ascii="宋体" w:hAnsi="宋体" w:eastAsia="宋体" w:cs="宋体"/>
          <w:sz w:val="22"/>
          <w:szCs w:val="28"/>
        </w:rPr>
        <w:t>6</w:t>
      </w:r>
      <w:r>
        <w:rPr>
          <w:rFonts w:hint="eastAsia" w:ascii="宋体" w:hAnsi="宋体" w:eastAsia="宋体" w:cs="宋体"/>
          <w:sz w:val="22"/>
          <w:szCs w:val="28"/>
        </w:rPr>
        <w:t>分，一点4分）</w:t>
      </w:r>
    </w:p>
    <w:p>
      <w:pPr>
        <w:pStyle w:val="11"/>
        <w:numPr>
          <w:ilvl w:val="0"/>
          <w:numId w:val="1"/>
        </w:numPr>
        <w:spacing w:line="240" w:lineRule="atLeast"/>
        <w:ind w:firstLineChars="0"/>
        <w:rPr>
          <w:rFonts w:ascii="宋体" w:hAnsi="宋体" w:eastAsia="宋体" w:cs="宋体"/>
          <w:sz w:val="22"/>
          <w:szCs w:val="28"/>
        </w:rPr>
      </w:pPr>
      <w:r>
        <w:rPr>
          <w:rFonts w:hint="eastAsia" w:ascii="宋体" w:hAnsi="宋体" w:eastAsia="宋体" w:cs="宋体"/>
          <w:sz w:val="22"/>
          <w:szCs w:val="28"/>
        </w:rPr>
        <w:t>（1）①有利于提高居民参与活动的积极性（可用“增强居民责任意识”替代）；②提高居民参与政治生活的能力；③保障居民直接行使民主权利；④丰富基层民主实践，提高基层治理能力。（</w:t>
      </w:r>
      <w:r>
        <w:rPr>
          <w:rFonts w:ascii="宋体" w:hAnsi="宋体" w:eastAsia="宋体" w:cs="宋体"/>
          <w:sz w:val="22"/>
          <w:szCs w:val="28"/>
        </w:rPr>
        <w:t>8</w:t>
      </w:r>
      <w:r>
        <w:rPr>
          <w:rFonts w:hint="eastAsia" w:ascii="宋体" w:hAnsi="宋体" w:eastAsia="宋体" w:cs="宋体"/>
          <w:sz w:val="22"/>
          <w:szCs w:val="28"/>
        </w:rPr>
        <w:t>分，一点2分）</w:t>
      </w:r>
    </w:p>
    <w:p>
      <w:pPr>
        <w:pStyle w:val="11"/>
        <w:spacing w:line="240" w:lineRule="atLeast"/>
        <w:ind w:left="360" w:firstLine="0" w:firstLineChars="0"/>
        <w:rPr>
          <w:rFonts w:ascii="宋体" w:hAnsi="宋体" w:eastAsia="宋体" w:cs="宋体"/>
          <w:sz w:val="22"/>
          <w:szCs w:val="28"/>
        </w:rPr>
      </w:pPr>
      <w:r>
        <w:rPr>
          <w:rFonts w:hint="eastAsia" w:ascii="宋体" w:hAnsi="宋体" w:eastAsia="宋体" w:cs="宋体"/>
          <w:sz w:val="22"/>
          <w:szCs w:val="28"/>
        </w:rPr>
        <w:t>（2）①资金使用方向方面：可考虑出设备、道具、嘉宾、奖品、饮食、宣传等支出；②资金管理方面：可从成立专项财务小组、做好资金使用规划、保证支出方向、提高资金使用效率等角度分析。（4分，一点2分）</w:t>
      </w:r>
    </w:p>
    <w:p>
      <w:pPr>
        <w:spacing w:line="240" w:lineRule="atLeast"/>
        <w:ind w:left="440" w:hanging="440" w:hangingChars="2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9.</w:t>
      </w:r>
      <w:r>
        <w:rPr>
          <w:rFonts w:hint="eastAsia" w:ascii="宋体" w:hAnsi="宋体" w:eastAsia="宋体" w:cs="宋体"/>
          <w:sz w:val="22"/>
          <w:szCs w:val="28"/>
        </w:rPr>
        <w:t>（1）①2017年到2019年，长江经济带技术市场快速成长，产业、城乡发展协调性增强，济增长能耗降低，货物贸易总额快速增长，养老、教育事业有所发展。②经济社会朝着创新、协调、绿色、开放、共享的方向发展。（</w:t>
      </w:r>
      <w:r>
        <w:rPr>
          <w:rFonts w:ascii="宋体" w:hAnsi="宋体" w:eastAsia="宋体" w:cs="宋体"/>
          <w:sz w:val="22"/>
          <w:szCs w:val="28"/>
        </w:rPr>
        <w:t>4</w:t>
      </w:r>
      <w:r>
        <w:rPr>
          <w:rFonts w:hint="eastAsia" w:ascii="宋体" w:hAnsi="宋体" w:eastAsia="宋体" w:cs="宋体"/>
          <w:sz w:val="22"/>
          <w:szCs w:val="28"/>
        </w:rPr>
        <w:t>分，一点</w:t>
      </w:r>
      <w:r>
        <w:rPr>
          <w:rFonts w:ascii="宋体" w:hAnsi="宋体" w:eastAsia="宋体" w:cs="宋体"/>
          <w:sz w:val="22"/>
          <w:szCs w:val="28"/>
        </w:rPr>
        <w:t>2</w:t>
      </w:r>
      <w:r>
        <w:rPr>
          <w:rFonts w:hint="eastAsia" w:ascii="宋体" w:hAnsi="宋体" w:eastAsia="宋体" w:cs="宋体"/>
          <w:sz w:val="22"/>
          <w:szCs w:val="28"/>
        </w:rPr>
        <w:t>分）</w:t>
      </w:r>
    </w:p>
    <w:p>
      <w:pPr>
        <w:spacing w:line="240" w:lineRule="atLeast"/>
        <w:ind w:left="420" w:leftChars="200"/>
        <w:rPr>
          <w:rFonts w:ascii="宋体" w:hAnsi="宋体" w:eastAsia="宋体" w:cs="宋体"/>
          <w:sz w:val="22"/>
          <w:szCs w:val="28"/>
        </w:rPr>
      </w:pPr>
      <w:r>
        <w:rPr>
          <w:rFonts w:hint="eastAsia" w:ascii="宋体" w:hAnsi="宋体" w:eastAsia="宋体" w:cs="宋体"/>
          <w:sz w:val="22"/>
          <w:szCs w:val="28"/>
        </w:rPr>
        <w:t>（2）①重庆市坚持以人民为中心，贯彻新发展理念，推动经济高质量发展；②推进“山水林田湖草”一体治理，形成了节约资源和保护环境的空间格局、生产方式、生活方式；③淘汰落后产能发展新型工业，引导化工企业转型升级，深化了供给侧结构性改革，优化了产业结构，建立起了创新引领、协同发展的产业体系。（9分，一点3分）</w:t>
      </w:r>
    </w:p>
    <w:p>
      <w:bookmarkStart w:id="1" w:name="_GoBack"/>
      <w:bookmarkEnd w:id="1"/>
    </w:p>
    <w:sectPr>
      <w:pgSz w:w="11850" w:h="1678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A7D2F"/>
    <w:multiLevelType w:val="multilevel"/>
    <w:tmpl w:val="1E6A7D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4C"/>
    <w:rsid w:val="00054144"/>
    <w:rsid w:val="000D542A"/>
    <w:rsid w:val="000E7F4C"/>
    <w:rsid w:val="00111236"/>
    <w:rsid w:val="003F5DC7"/>
    <w:rsid w:val="00515552"/>
    <w:rsid w:val="006F4960"/>
    <w:rsid w:val="00745306"/>
    <w:rsid w:val="0075769B"/>
    <w:rsid w:val="007811A7"/>
    <w:rsid w:val="007D29F2"/>
    <w:rsid w:val="008D5396"/>
    <w:rsid w:val="00AE464B"/>
    <w:rsid w:val="00B33425"/>
    <w:rsid w:val="00B56BCC"/>
    <w:rsid w:val="00BD76BE"/>
    <w:rsid w:val="00BF6176"/>
    <w:rsid w:val="00C12C1E"/>
    <w:rsid w:val="00CC5C2C"/>
    <w:rsid w:val="00DC08E1"/>
    <w:rsid w:val="00E96006"/>
    <w:rsid w:val="00FC5B49"/>
    <w:rsid w:val="030806B9"/>
    <w:rsid w:val="03AA552B"/>
    <w:rsid w:val="03FD6B40"/>
    <w:rsid w:val="0496748A"/>
    <w:rsid w:val="04F53C96"/>
    <w:rsid w:val="05865589"/>
    <w:rsid w:val="073E2EBC"/>
    <w:rsid w:val="0D1D1137"/>
    <w:rsid w:val="0F022545"/>
    <w:rsid w:val="109B69B9"/>
    <w:rsid w:val="111033BF"/>
    <w:rsid w:val="137064FF"/>
    <w:rsid w:val="16B07CC1"/>
    <w:rsid w:val="18034014"/>
    <w:rsid w:val="18FC0C0C"/>
    <w:rsid w:val="19007A4A"/>
    <w:rsid w:val="195979EC"/>
    <w:rsid w:val="19C16FDD"/>
    <w:rsid w:val="1C5B518B"/>
    <w:rsid w:val="1D917FAD"/>
    <w:rsid w:val="1DEA3274"/>
    <w:rsid w:val="1F357451"/>
    <w:rsid w:val="1F980265"/>
    <w:rsid w:val="214A084F"/>
    <w:rsid w:val="2351356D"/>
    <w:rsid w:val="25313B96"/>
    <w:rsid w:val="25ED6E11"/>
    <w:rsid w:val="26B26B3A"/>
    <w:rsid w:val="29E27FB9"/>
    <w:rsid w:val="29F60215"/>
    <w:rsid w:val="2B203ACD"/>
    <w:rsid w:val="2E2772E6"/>
    <w:rsid w:val="2EA763B0"/>
    <w:rsid w:val="2F074D64"/>
    <w:rsid w:val="2FC43D1D"/>
    <w:rsid w:val="300D2BAC"/>
    <w:rsid w:val="31EF2461"/>
    <w:rsid w:val="35F74D95"/>
    <w:rsid w:val="37A73594"/>
    <w:rsid w:val="3E5D07BE"/>
    <w:rsid w:val="428134D7"/>
    <w:rsid w:val="44A30DD4"/>
    <w:rsid w:val="4A3E02AE"/>
    <w:rsid w:val="4AC877C8"/>
    <w:rsid w:val="52A4690F"/>
    <w:rsid w:val="535B1693"/>
    <w:rsid w:val="53D83110"/>
    <w:rsid w:val="54C827DD"/>
    <w:rsid w:val="559545C3"/>
    <w:rsid w:val="591903FA"/>
    <w:rsid w:val="5A645CD5"/>
    <w:rsid w:val="5AC95861"/>
    <w:rsid w:val="613856B2"/>
    <w:rsid w:val="62CD7873"/>
    <w:rsid w:val="6481568B"/>
    <w:rsid w:val="6A47285A"/>
    <w:rsid w:val="6DD93997"/>
    <w:rsid w:val="6F4A0F2A"/>
    <w:rsid w:val="6F560B24"/>
    <w:rsid w:val="71F94CBF"/>
    <w:rsid w:val="735720AF"/>
    <w:rsid w:val="74B30975"/>
    <w:rsid w:val="77197FE3"/>
    <w:rsid w:val="77ED6B84"/>
    <w:rsid w:val="79181DA0"/>
    <w:rsid w:val="7BDC0FE1"/>
    <w:rsid w:val="7BDC72E8"/>
    <w:rsid w:val="7CC418B9"/>
    <w:rsid w:val="7D87050D"/>
    <w:rsid w:val="7ED05563"/>
    <w:rsid w:val="7F3572D3"/>
    <w:rsid w:val="7F5321EC"/>
    <w:rsid w:val="7F6A201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9117</Words>
  <Characters>9374</Characters>
  <Lines>37</Lines>
  <Paragraphs>10</Paragraphs>
  <ScaleCrop>false</ScaleCrop>
  <LinksUpToDate>false</LinksUpToDate>
  <CharactersWithSpaces>9599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2020-11-08T08:10:00Z</dcterms:created>
  <dc:creator>Administrator</dc:creator>
  <cp:lastModifiedBy>Administrator</cp:lastModifiedBy>
  <dcterms:modified xsi:type="dcterms:W3CDTF">2021-09-26T03:20:35Z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