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6 -->
  <w:body>
    <w:p>
      <w:pPr>
        <w:pStyle w:val="Normal0"/>
        <w:spacing w:after="0" w:line="276" w:lineRule="auto"/>
        <w:jc w:val="center"/>
        <w:rPr>
          <w:rFonts w:ascii="Times New Roman" w:eastAsia="宋体" w:hAnsi="Arial" w:hint="eastAsia"/>
          <w:b/>
          <w:kern w:val="2"/>
          <w:sz w:val="44"/>
          <w:szCs w:val="44"/>
        </w:rPr>
      </w:pPr>
      <w:r>
        <w:rPr>
          <w:rFonts w:ascii="Times New Roman" w:eastAsia="宋体" w:hAnsi="Arial" w:hint="eastAsia"/>
          <w:b/>
          <w:kern w:val="2"/>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5" type="#_x0000_t75" style="width:21pt;height:33pt;margin-top:933pt;margin-left:815pt;mso-position-horizontal-relative:page;mso-position-vertical-relative:page;mso-wrap-style:square;position:absolute;z-index:251658240" o:preferrelative="t" filled="f" stroked="f">
            <v:fill o:detectmouseclick="t"/>
            <v:stroke linestyle="single"/>
            <v:imagedata r:id="rId4" o:title=""/>
            <v:path o:extrusionok="f"/>
            <o:lock v:ext="edit" aspectratio="t"/>
          </v:shape>
        </w:pict>
      </w:r>
      <w:r>
        <w:rPr>
          <w:rFonts w:ascii="Times New Roman" w:eastAsia="宋体" w:hAnsi="Arial" w:hint="eastAsia"/>
          <w:b/>
          <w:kern w:val="2"/>
          <w:sz w:val="44"/>
          <w:szCs w:val="44"/>
        </w:rPr>
        <w:t>麻城二中20</w:t>
      </w:r>
      <w:r>
        <w:rPr>
          <w:rFonts w:ascii="Times New Roman" w:eastAsia="宋体" w:hAnsi="Arial" w:hint="eastAsia"/>
          <w:b/>
          <w:kern w:val="2"/>
          <w:sz w:val="44"/>
          <w:szCs w:val="44"/>
          <w:lang w:val="en-US" w:eastAsia="zh-CN"/>
        </w:rPr>
        <w:t>20</w:t>
      </w:r>
      <w:r>
        <w:rPr>
          <w:rFonts w:ascii="Times New Roman" w:eastAsia="宋体" w:hAnsi="Arial" w:hint="eastAsia"/>
          <w:b/>
          <w:kern w:val="2"/>
          <w:sz w:val="44"/>
          <w:szCs w:val="44"/>
        </w:rPr>
        <w:t>年秋高二期中考试</w:t>
      </w:r>
    </w:p>
    <w:p>
      <w:pPr>
        <w:pStyle w:val="Normal0"/>
        <w:spacing w:after="0" w:line="276" w:lineRule="auto"/>
        <w:jc w:val="center"/>
        <w:rPr>
          <w:rFonts w:ascii="黑体" w:eastAsia="黑体" w:hAnsi="黑体" w:hint="eastAsia"/>
          <w:b/>
          <w:kern w:val="2"/>
          <w:sz w:val="32"/>
          <w:szCs w:val="32"/>
        </w:rPr>
      </w:pPr>
      <w:r>
        <w:rPr>
          <w:rFonts w:ascii="黑体" w:eastAsia="黑体" w:hAnsi="黑体" w:hint="eastAsia"/>
          <w:b/>
          <w:kern w:val="2"/>
          <w:sz w:val="32"/>
          <w:szCs w:val="32"/>
          <w:lang w:val="en-US" w:eastAsia="zh-CN"/>
        </w:rPr>
        <w:t>生 物</w:t>
      </w:r>
      <w:r>
        <w:rPr>
          <w:rFonts w:ascii="黑体" w:eastAsia="黑体" w:hAnsi="黑体" w:hint="eastAsia"/>
          <w:b/>
          <w:kern w:val="2"/>
          <w:sz w:val="32"/>
          <w:szCs w:val="32"/>
        </w:rPr>
        <w:t xml:space="preserve"> 试 题</w:t>
      </w:r>
    </w:p>
    <w:p>
      <w:pPr>
        <w:pStyle w:val="Normal0"/>
        <w:spacing w:after="0" w:line="276" w:lineRule="auto"/>
        <w:ind w:firstLine="103" w:firstLineChars="49"/>
        <w:jc w:val="center"/>
        <w:rPr>
          <w:b/>
          <w:bCs/>
          <w:sz w:val="28"/>
          <w:szCs w:val="28"/>
        </w:rPr>
      </w:pPr>
      <w:r>
        <w:rPr>
          <w:rFonts w:ascii="楷体" w:eastAsia="楷体" w:hAnsi="楷体" w:hint="eastAsia"/>
          <w:b/>
          <w:kern w:val="2"/>
          <w:sz w:val="21"/>
          <w:szCs w:val="21"/>
        </w:rPr>
        <w:t>考时：</w:t>
      </w:r>
      <w:r>
        <w:rPr>
          <w:rFonts w:ascii="楷体" w:eastAsia="楷体" w:hAnsi="楷体" w:hint="eastAsia"/>
          <w:b/>
          <w:kern w:val="2"/>
          <w:sz w:val="21"/>
          <w:szCs w:val="21"/>
          <w:lang w:val="en-US" w:eastAsia="zh-CN"/>
        </w:rPr>
        <w:t>90</w:t>
      </w:r>
      <w:r>
        <w:rPr>
          <w:rFonts w:ascii="楷体" w:eastAsia="楷体" w:hAnsi="楷体" w:hint="eastAsia"/>
          <w:b/>
          <w:kern w:val="2"/>
          <w:sz w:val="21"/>
          <w:szCs w:val="21"/>
        </w:rPr>
        <w:t>分钟  分值：1</w:t>
      </w:r>
      <w:r>
        <w:rPr>
          <w:rFonts w:ascii="楷体" w:eastAsia="楷体" w:hAnsi="楷体" w:hint="eastAsia"/>
          <w:b/>
          <w:kern w:val="2"/>
          <w:sz w:val="21"/>
          <w:szCs w:val="21"/>
          <w:lang w:val="en-US" w:eastAsia="zh-CN"/>
        </w:rPr>
        <w:t>0</w:t>
      </w:r>
      <w:r>
        <w:rPr>
          <w:rFonts w:ascii="楷体" w:eastAsia="楷体" w:hAnsi="楷体" w:hint="eastAsia"/>
          <w:b/>
          <w:kern w:val="2"/>
          <w:sz w:val="21"/>
          <w:szCs w:val="21"/>
        </w:rPr>
        <w:t>0分</w:t>
      </w:r>
    </w:p>
    <w:p>
      <w:pPr>
        <w:spacing w:before="100" w:beforeAutospacing="1" w:after="100" w:afterAutospacing="1" w:line="360" w:lineRule="exact"/>
        <w:jc w:val="center"/>
        <w:rPr>
          <w:rFonts w:hint="eastAsia"/>
          <w:b/>
          <w:bCs/>
          <w:sz w:val="30"/>
          <w:szCs w:val="30"/>
        </w:rPr>
      </w:pPr>
      <w:r>
        <w:rPr>
          <w:rFonts w:hint="eastAsia"/>
          <w:b/>
          <w:bCs/>
          <w:sz w:val="30"/>
          <w:szCs w:val="30"/>
        </w:rPr>
        <w:t>第I卷 (选择题</w:t>
      </w:r>
      <w:r>
        <w:rPr>
          <w:b/>
          <w:bCs/>
          <w:sz w:val="30"/>
          <w:szCs w:val="30"/>
        </w:rPr>
        <w:t xml:space="preserve"> </w:t>
      </w:r>
      <w:r>
        <w:rPr>
          <w:rFonts w:hint="eastAsia"/>
          <w:b/>
          <w:bCs/>
          <w:sz w:val="30"/>
          <w:szCs w:val="30"/>
        </w:rPr>
        <w:t>共60分)</w:t>
      </w:r>
    </w:p>
    <w:p>
      <w:pPr>
        <w:numPr>
          <w:ilvl w:val="0"/>
          <w:numId w:val="1"/>
        </w:numPr>
        <w:ind w:left="0" w:firstLine="0"/>
        <w:rPr>
          <w:rFonts w:hint="eastAsia"/>
          <w:b/>
          <w:sz w:val="24"/>
          <w:szCs w:val="28"/>
        </w:rPr>
      </w:pPr>
      <w:r>
        <w:rPr>
          <w:b/>
          <w:sz w:val="24"/>
          <w:szCs w:val="28"/>
        </w:rPr>
        <w:t>选择题（</w:t>
      </w:r>
      <w:r>
        <w:rPr>
          <w:rFonts w:hint="eastAsia"/>
          <w:b/>
          <w:sz w:val="24"/>
          <w:szCs w:val="28"/>
        </w:rPr>
        <w:t>请把每小题的答案写在答题卡上。每小题2分，共30题60分</w:t>
      </w:r>
      <w:r>
        <w:rPr>
          <w:b/>
          <w:sz w:val="24"/>
          <w:szCs w:val="28"/>
        </w:rPr>
        <w:t>）</w:t>
      </w:r>
    </w:p>
    <w:p>
      <w:pPr>
        <w:pStyle w:val="DefaultParagraph"/>
        <w:rPr>
          <w:b/>
          <w:szCs w:val="21"/>
        </w:rPr>
      </w:pPr>
      <w:r>
        <w:rPr>
          <w:b/>
          <w:szCs w:val="21"/>
        </w:rPr>
        <w:t>1．如图是人体细胞与内环境进行物质交换示意图，①处的箭头表示血液流动方向．下列相关叙述不正确的是（　　）</w:t>
      </w:r>
    </w:p>
    <w:p>
      <w:pPr>
        <w:pStyle w:val="DefaultParagraph"/>
        <w:rPr>
          <w:b/>
          <w:szCs w:val="21"/>
        </w:rPr>
      </w:pPr>
      <w:r>
        <w:rPr>
          <w:b/>
          <w:szCs w:val="21"/>
        </w:rPr>
        <w:pict>
          <v:shape id="Picture24" o:spid="_x0000_i1026" type="#_x0000_t75" style="width:185.3pt;height:121.4pt;mso-position-horizontal-relative:page;mso-position-vertical-relative:page;mso-wrap-style:square" filled="f" stroked="f">
            <v:stroke linestyle="single"/>
            <v:imagedata r:id="rId5" o:title=""/>
            <v:path o:extrusionok="f"/>
            <o:lock v:ext="edit" aspectratio="t"/>
          </v:shape>
        </w:pict>
      </w:r>
    </w:p>
    <w:tbl>
      <w:tblPr>
        <w:tblStyle w:val="TableNormal"/>
        <w:tblW w:w="5006"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
      <w:tblGrid>
        <w:gridCol w:w="19"/>
        <w:gridCol w:w="350"/>
        <w:gridCol w:w="8106"/>
      </w:tblGrid>
      <w:tr>
        <w:tblPrEx>
          <w:tblW w:w="5006"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c>
          <w:tcPr>
            <w:tcW w:w="20" w:type="dxa"/>
          </w:tcPr>
          <w:p>
            <w:pPr>
              <w:pStyle w:val="DefaultParagraph"/>
              <w:rPr>
                <w:b/>
                <w:szCs w:val="21"/>
              </w:rPr>
            </w:pPr>
            <w:r>
              <w:rPr>
                <w:b/>
                <w:szCs w:val="21"/>
              </w:rPr>
              <w:t>　</w:t>
            </w:r>
          </w:p>
        </w:tc>
        <w:tc>
          <w:tcPr>
            <w:tcW w:w="364" w:type="dxa"/>
          </w:tcPr>
          <w:p>
            <w:pPr>
              <w:pStyle w:val="DefaultParagraph"/>
              <w:rPr>
                <w:b/>
                <w:szCs w:val="21"/>
              </w:rPr>
            </w:pPr>
            <w:r>
              <w:rPr>
                <w:b/>
                <w:szCs w:val="21"/>
              </w:rPr>
              <w:t>A．</w:t>
            </w:r>
          </w:p>
        </w:tc>
        <w:tc>
          <w:tcPr>
            <w:tcW w:w="8939" w:type="dxa"/>
          </w:tcPr>
          <w:p>
            <w:pPr>
              <w:pStyle w:val="DefaultParagraph"/>
              <w:rPr>
                <w:b/>
                <w:szCs w:val="21"/>
              </w:rPr>
            </w:pPr>
            <w:r>
              <w:rPr>
                <w:b/>
                <w:szCs w:val="21"/>
              </w:rPr>
              <w:t>抽取④或⑤液体可检测出人体内产生的各种激素的含量</w:t>
            </w:r>
          </w:p>
        </w:tc>
      </w:tr>
      <w:tr>
        <w:tblPrEx>
          <w:tblW w:w="5006" w:type="pct"/>
          <w:tblInd w:w="-1" w:type="dxa"/>
          <w:tblCellMar>
            <w:top w:w="0" w:type="dxa"/>
            <w:left w:w="0" w:type="dxa"/>
            <w:bottom w:w="0" w:type="dxa"/>
            <w:right w:w="0" w:type="dxa"/>
          </w:tblCellMar>
          <w:tblLook w:val="0000"/>
        </w:tblPrEx>
        <w:tc>
          <w:tcPr>
            <w:tcW w:w="20" w:type="dxa"/>
          </w:tcPr>
          <w:p>
            <w:pPr>
              <w:pStyle w:val="DefaultParagraph"/>
              <w:rPr>
                <w:b/>
                <w:szCs w:val="21"/>
              </w:rPr>
            </w:pPr>
            <w:r>
              <w:rPr>
                <w:b/>
                <w:szCs w:val="21"/>
              </w:rPr>
              <w:t>　</w:t>
            </w:r>
          </w:p>
        </w:tc>
        <w:tc>
          <w:tcPr>
            <w:tcW w:w="364" w:type="dxa"/>
          </w:tcPr>
          <w:p>
            <w:pPr>
              <w:pStyle w:val="DefaultParagraph"/>
              <w:rPr>
                <w:b/>
                <w:szCs w:val="21"/>
              </w:rPr>
            </w:pPr>
            <w:r>
              <w:rPr>
                <w:b/>
                <w:szCs w:val="21"/>
              </w:rPr>
              <w:t>B．</w:t>
            </w:r>
          </w:p>
        </w:tc>
        <w:tc>
          <w:tcPr>
            <w:tcW w:w="8939" w:type="dxa"/>
          </w:tcPr>
          <w:p>
            <w:pPr>
              <w:pStyle w:val="DefaultParagraph"/>
              <w:rPr>
                <w:b/>
                <w:szCs w:val="21"/>
              </w:rPr>
            </w:pPr>
            <w:r>
              <w:rPr>
                <w:b/>
                <w:szCs w:val="21"/>
              </w:rPr>
              <w:t>当⑤处的渗透压升高，则会引起抗利尿激素释放增加</w:t>
            </w:r>
          </w:p>
        </w:tc>
      </w:tr>
      <w:tr>
        <w:tblPrEx>
          <w:tblW w:w="5006" w:type="pct"/>
          <w:tblInd w:w="-1" w:type="dxa"/>
          <w:tblCellMar>
            <w:top w:w="0" w:type="dxa"/>
            <w:left w:w="0" w:type="dxa"/>
            <w:bottom w:w="0" w:type="dxa"/>
            <w:right w:w="0" w:type="dxa"/>
          </w:tblCellMar>
          <w:tblLook w:val="0000"/>
        </w:tblPrEx>
        <w:tc>
          <w:tcPr>
            <w:tcW w:w="20" w:type="dxa"/>
          </w:tcPr>
          <w:p>
            <w:pPr>
              <w:pStyle w:val="DefaultParagraph"/>
              <w:rPr>
                <w:b/>
                <w:szCs w:val="21"/>
              </w:rPr>
            </w:pPr>
            <w:r>
              <w:rPr>
                <w:b/>
                <w:szCs w:val="21"/>
              </w:rPr>
              <w:t>　</w:t>
            </w:r>
          </w:p>
        </w:tc>
        <w:tc>
          <w:tcPr>
            <w:tcW w:w="364" w:type="dxa"/>
          </w:tcPr>
          <w:p>
            <w:pPr>
              <w:pStyle w:val="DefaultParagraph"/>
              <w:rPr>
                <w:b/>
                <w:szCs w:val="21"/>
              </w:rPr>
            </w:pPr>
            <w:r>
              <w:rPr>
                <w:b/>
                <w:szCs w:val="21"/>
              </w:rPr>
              <w:t>C．</w:t>
            </w:r>
          </w:p>
        </w:tc>
        <w:tc>
          <w:tcPr>
            <w:tcW w:w="8939" w:type="dxa"/>
          </w:tcPr>
          <w:p>
            <w:pPr>
              <w:pStyle w:val="DefaultParagraph"/>
              <w:rPr>
                <w:b/>
                <w:szCs w:val="21"/>
              </w:rPr>
            </w:pPr>
            <w:r>
              <w:rPr>
                <w:b/>
                <w:szCs w:val="21"/>
              </w:rPr>
              <w:t>参与免疫的淋巴细胞可分布于③和⑤处，而抗体只能分布于⑤处</w:t>
            </w:r>
          </w:p>
        </w:tc>
      </w:tr>
      <w:tr>
        <w:tblPrEx>
          <w:tblW w:w="5006" w:type="pct"/>
          <w:tblInd w:w="-1" w:type="dxa"/>
          <w:tblCellMar>
            <w:top w:w="0" w:type="dxa"/>
            <w:left w:w="0" w:type="dxa"/>
            <w:bottom w:w="0" w:type="dxa"/>
            <w:right w:w="0" w:type="dxa"/>
          </w:tblCellMar>
          <w:tblLook w:val="0000"/>
        </w:tblPrEx>
        <w:tc>
          <w:tcPr>
            <w:tcW w:w="20" w:type="dxa"/>
          </w:tcPr>
          <w:p>
            <w:pPr>
              <w:pStyle w:val="DefaultParagraph"/>
              <w:rPr>
                <w:b/>
                <w:szCs w:val="21"/>
              </w:rPr>
            </w:pPr>
            <w:r>
              <w:rPr>
                <w:b/>
                <w:szCs w:val="21"/>
              </w:rPr>
              <w:t>　</w:t>
            </w:r>
          </w:p>
        </w:tc>
        <w:tc>
          <w:tcPr>
            <w:tcW w:w="364" w:type="dxa"/>
          </w:tcPr>
          <w:p>
            <w:pPr>
              <w:pStyle w:val="DefaultParagraph"/>
              <w:rPr>
                <w:b/>
                <w:szCs w:val="21"/>
              </w:rPr>
            </w:pPr>
            <w:r>
              <w:rPr>
                <w:b/>
                <w:szCs w:val="21"/>
              </w:rPr>
              <w:t>D．</w:t>
            </w:r>
          </w:p>
        </w:tc>
        <w:tc>
          <w:tcPr>
            <w:tcW w:w="8939" w:type="dxa"/>
          </w:tcPr>
          <w:p>
            <w:pPr>
              <w:pStyle w:val="DefaultParagraph"/>
              <w:rPr>
                <w:b/>
                <w:szCs w:val="21"/>
              </w:rPr>
            </w:pPr>
            <w:r>
              <w:rPr>
                <w:b/>
                <w:szCs w:val="21"/>
              </w:rPr>
              <w:t>②处是细胞代谢的主要场所，该细胞的内环境是组织液</w:t>
            </w:r>
          </w:p>
        </w:tc>
      </w:tr>
    </w:tbl>
    <w:p>
      <w:pPr>
        <w:pStyle w:val="DefaultParagraph"/>
        <w:rPr>
          <w:b/>
          <w:szCs w:val="21"/>
        </w:rPr>
      </w:pPr>
      <w:r>
        <w:rPr>
          <w:b/>
          <w:szCs w:val="21"/>
        </w:rPr>
        <w:t>2．下列各组化合物中，全是内环境成分的一组是（　　）</w:t>
      </w:r>
    </w:p>
    <w:tbl>
      <w:tblPr>
        <w:tblStyle w:val="TableNormal"/>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
      <w:tblGrid>
        <w:gridCol w:w="12"/>
        <w:gridCol w:w="217"/>
        <w:gridCol w:w="4009"/>
        <w:gridCol w:w="217"/>
        <w:gridCol w:w="4010"/>
      </w:tblGrid>
      <w:tr>
        <w:tblPrEx>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A．</w:t>
            </w:r>
          </w:p>
        </w:tc>
        <w:tc>
          <w:tcPr>
            <w:tcW w:w="2400" w:type="pct"/>
          </w:tcPr>
          <w:p>
            <w:pPr>
              <w:pStyle w:val="DefaultParagraph"/>
              <w:rPr>
                <w:b/>
                <w:szCs w:val="21"/>
              </w:rPr>
            </w:pPr>
            <w:r>
              <w:rPr>
                <w:b/>
                <w:szCs w:val="21"/>
              </w:rPr>
              <w:t>CO</w:t>
            </w:r>
            <w:r>
              <w:rPr>
                <w:b/>
                <w:szCs w:val="21"/>
                <w:vertAlign w:val="subscript"/>
              </w:rPr>
              <w:t>2</w:t>
            </w:r>
            <w:r>
              <w:rPr>
                <w:b/>
                <w:szCs w:val="21"/>
              </w:rPr>
              <w:t>、血红蛋白、H</w:t>
            </w:r>
            <w:r>
              <w:rPr>
                <w:b/>
                <w:szCs w:val="21"/>
                <w:vertAlign w:val="superscript"/>
              </w:rPr>
              <w:t>+</w:t>
            </w:r>
            <w:r>
              <w:rPr>
                <w:b/>
                <w:szCs w:val="21"/>
              </w:rPr>
              <w:t>、尿素</w:t>
            </w:r>
          </w:p>
        </w:tc>
        <w:tc>
          <w:tcPr>
            <w:tcW w:w="330" w:type="dxa"/>
          </w:tcPr>
          <w:p>
            <w:pPr>
              <w:pStyle w:val="DefaultParagraph"/>
              <w:rPr>
                <w:b/>
                <w:szCs w:val="21"/>
              </w:rPr>
            </w:pPr>
            <w:r>
              <w:rPr>
                <w:b/>
                <w:szCs w:val="21"/>
              </w:rPr>
              <w:t>B．</w:t>
            </w:r>
          </w:p>
        </w:tc>
        <w:tc>
          <w:tcPr>
            <w:tcW w:w="2400" w:type="pct"/>
          </w:tcPr>
          <w:p>
            <w:pPr>
              <w:pStyle w:val="DefaultParagraph"/>
              <w:rPr>
                <w:b/>
                <w:szCs w:val="21"/>
              </w:rPr>
            </w:pPr>
            <w:r>
              <w:rPr>
                <w:b/>
                <w:szCs w:val="21"/>
              </w:rPr>
              <w:t>呼吸氧化酶、抗体、激素、H</w:t>
            </w:r>
            <w:r>
              <w:rPr>
                <w:b/>
                <w:szCs w:val="21"/>
                <w:vertAlign w:val="subscript"/>
              </w:rPr>
              <w:t>2</w:t>
            </w:r>
            <w:r>
              <w:rPr>
                <w:b/>
                <w:szCs w:val="21"/>
              </w:rPr>
              <w:t>O</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C．</w:t>
            </w:r>
          </w:p>
        </w:tc>
        <w:tc>
          <w:tcPr>
            <w:tcW w:w="2400" w:type="pct"/>
          </w:tcPr>
          <w:p>
            <w:pPr>
              <w:pStyle w:val="DefaultParagraph"/>
              <w:rPr>
                <w:b/>
                <w:szCs w:val="21"/>
              </w:rPr>
            </w:pPr>
            <w:r>
              <w:rPr>
                <w:b/>
                <w:szCs w:val="21"/>
              </w:rPr>
              <w:t>Na</w:t>
            </w:r>
            <w:r>
              <w:rPr>
                <w:b/>
                <w:szCs w:val="21"/>
                <w:vertAlign w:val="superscript"/>
              </w:rPr>
              <w:t>+</w:t>
            </w:r>
            <w:r>
              <w:rPr>
                <w:b/>
                <w:szCs w:val="21"/>
              </w:rPr>
              <w:t>、O</w:t>
            </w:r>
            <w:r>
              <w:rPr>
                <w:b/>
                <w:szCs w:val="21"/>
                <w:vertAlign w:val="subscript"/>
              </w:rPr>
              <w:t>2</w:t>
            </w:r>
            <w:r>
              <w:rPr>
                <w:b/>
                <w:szCs w:val="21"/>
              </w:rPr>
              <w:t>、葡萄糖、血浆蛋白</w:t>
            </w:r>
          </w:p>
        </w:tc>
        <w:tc>
          <w:tcPr>
            <w:tcW w:w="330" w:type="dxa"/>
          </w:tcPr>
          <w:p>
            <w:pPr>
              <w:pStyle w:val="DefaultParagraph"/>
              <w:rPr>
                <w:b/>
                <w:szCs w:val="21"/>
              </w:rPr>
            </w:pPr>
            <w:r>
              <w:rPr>
                <w:b/>
                <w:szCs w:val="21"/>
              </w:rPr>
              <w:t>D．</w:t>
            </w:r>
          </w:p>
        </w:tc>
        <w:tc>
          <w:tcPr>
            <w:tcW w:w="2400" w:type="pct"/>
          </w:tcPr>
          <w:p>
            <w:pPr>
              <w:pStyle w:val="DefaultParagraph"/>
              <w:rPr>
                <w:b/>
                <w:szCs w:val="21"/>
              </w:rPr>
            </w:pPr>
            <w:r>
              <w:rPr>
                <w:b/>
                <w:szCs w:val="21"/>
              </w:rPr>
              <w:t>Ca</w:t>
            </w:r>
            <w:r>
              <w:rPr>
                <w:b/>
                <w:szCs w:val="21"/>
                <w:vertAlign w:val="superscript"/>
              </w:rPr>
              <w:t>2+</w:t>
            </w:r>
            <w:r>
              <w:rPr>
                <w:b/>
                <w:szCs w:val="21"/>
              </w:rPr>
              <w:t>、载体、氨基酸</w:t>
            </w:r>
          </w:p>
        </w:tc>
      </w:tr>
    </w:tbl>
    <w:p>
      <w:pPr>
        <w:pStyle w:val="DefaultParagraph"/>
        <w:rPr>
          <w:b/>
          <w:szCs w:val="21"/>
        </w:rPr>
      </w:pPr>
      <w:r>
        <w:rPr>
          <w:b/>
          <w:szCs w:val="21"/>
        </w:rPr>
        <w:t>3．下列关于生命系统的稳态及调节的叙述正确的是（　　）</w:t>
      </w:r>
    </w:p>
    <w:tbl>
      <w:tblPr>
        <w:tblStyle w:val="TableNormal"/>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
      <w:tblGrid>
        <w:gridCol w:w="12"/>
        <w:gridCol w:w="217"/>
        <w:gridCol w:w="8236"/>
      </w:tblGrid>
      <w:tr>
        <w:tblPrEx>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A．</w:t>
            </w:r>
          </w:p>
        </w:tc>
        <w:tc>
          <w:tcPr>
            <w:tcW w:w="4900" w:type="pct"/>
          </w:tcPr>
          <w:p>
            <w:pPr>
              <w:pStyle w:val="DefaultParagraph"/>
              <w:rPr>
                <w:b/>
                <w:szCs w:val="21"/>
              </w:rPr>
            </w:pPr>
            <w:r>
              <w:rPr>
                <w:b/>
                <w:szCs w:val="21"/>
              </w:rPr>
              <w:t>稳态是机体在神经系统调节下，通过各器官、系统的协调活动来共同维持的</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B．</w:t>
            </w:r>
          </w:p>
        </w:tc>
        <w:tc>
          <w:tcPr>
            <w:tcW w:w="4900" w:type="pct"/>
          </w:tcPr>
          <w:p>
            <w:pPr>
              <w:pStyle w:val="DefaultParagraph"/>
              <w:rPr>
                <w:b/>
                <w:szCs w:val="21"/>
              </w:rPr>
            </w:pPr>
            <w:r>
              <w:rPr>
                <w:b/>
                <w:szCs w:val="21"/>
              </w:rPr>
              <w:t>垂体分泌的促甲状腺激素，通过体液定向运送到甲状腺</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C．</w:t>
            </w:r>
          </w:p>
        </w:tc>
        <w:tc>
          <w:tcPr>
            <w:tcW w:w="4900" w:type="pct"/>
          </w:tcPr>
          <w:p>
            <w:pPr>
              <w:pStyle w:val="DefaultParagraph"/>
              <w:rPr>
                <w:b/>
                <w:szCs w:val="21"/>
              </w:rPr>
            </w:pPr>
            <w:r>
              <w:rPr>
                <w:b/>
                <w:szCs w:val="21"/>
              </w:rPr>
              <w:t>激素和酶发挥作用后很快就会1．如图是人体细胞与内环境进行物质交换示意图，①处的箭头表示血液流动方向．下列相被灭活，有助于机体维持内环境的稳态</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D．</w:t>
            </w:r>
          </w:p>
        </w:tc>
        <w:tc>
          <w:tcPr>
            <w:tcW w:w="4900" w:type="pct"/>
          </w:tcPr>
          <w:p>
            <w:pPr>
              <w:pStyle w:val="DefaultParagraph"/>
              <w:rPr>
                <w:b/>
                <w:szCs w:val="21"/>
              </w:rPr>
            </w:pPr>
            <w:r>
              <w:rPr>
                <w:b/>
                <w:szCs w:val="21"/>
              </w:rPr>
              <w:t>当罗非鱼由淡水进入咸水，机体内释放抗利尿激素会增加</w:t>
            </w:r>
          </w:p>
        </w:tc>
      </w:tr>
    </w:tbl>
    <w:p>
      <w:pPr>
        <w:pStyle w:val="DefaultParagraph"/>
        <w:rPr>
          <w:b/>
          <w:szCs w:val="21"/>
        </w:rPr>
      </w:pPr>
      <w:r>
        <w:rPr>
          <w:b/>
          <w:szCs w:val="21"/>
        </w:rPr>
        <w:t>4．如图所示，A表示某人剧烈运动2分钟理论所需的氧量，B表示运动及恢复过程的氧耗量．据图分析不正确的是（　　）</w:t>
      </w:r>
    </w:p>
    <w:p>
      <w:pPr>
        <w:pStyle w:val="DefaultParagraph"/>
        <w:rPr>
          <w:b/>
          <w:szCs w:val="21"/>
        </w:rPr>
      </w:pPr>
      <w:r>
        <w:rPr>
          <w:b/>
          <w:szCs w:val="21"/>
        </w:rPr>
        <w:pict>
          <v:shape id="Picture24" o:spid="_x0000_i1027" type="#_x0000_t75" style="width:176.07pt;height:108.75pt;mso-position-horizontal-relative:page;mso-position-vertical-relative:page;mso-wrap-style:square" filled="f" stroked="f">
            <v:stroke linestyle="single"/>
            <v:imagedata r:id="rId6" o:title=""/>
            <v:path o:extrusionok="f"/>
            <o:lock v:ext="edit" aspectratio="t"/>
          </v:shape>
        </w:pict>
      </w:r>
    </w:p>
    <w:tbl>
      <w:tblPr>
        <w:tblStyle w:val="TableNormal"/>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
      <w:tblGrid>
        <w:gridCol w:w="12"/>
        <w:gridCol w:w="217"/>
        <w:gridCol w:w="8236"/>
      </w:tblGrid>
      <w:tr>
        <w:tblPrEx>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A．</w:t>
            </w:r>
          </w:p>
        </w:tc>
        <w:tc>
          <w:tcPr>
            <w:tcW w:w="4900" w:type="pct"/>
          </w:tcPr>
          <w:p>
            <w:pPr>
              <w:pStyle w:val="DefaultParagraph"/>
              <w:rPr>
                <w:b/>
                <w:szCs w:val="21"/>
              </w:rPr>
            </w:pPr>
            <w:r>
              <w:rPr>
                <w:b/>
                <w:szCs w:val="21"/>
              </w:rPr>
              <w:t>剧烈运动过程需氧量高说明剧烈运动耗能多，有氧呼吸产能多</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B．</w:t>
            </w:r>
          </w:p>
        </w:tc>
        <w:tc>
          <w:tcPr>
            <w:tcW w:w="4900" w:type="pct"/>
          </w:tcPr>
          <w:p>
            <w:pPr>
              <w:pStyle w:val="DefaultParagraph"/>
              <w:rPr>
                <w:b/>
                <w:szCs w:val="21"/>
              </w:rPr>
            </w:pPr>
            <w:r>
              <w:rPr>
                <w:b/>
                <w:szCs w:val="21"/>
              </w:rPr>
              <w:t>在运动过程中血浆中乳酸的含量会增加，原因是肌细胞进行了无氧呼吸，在图中可通过2分钟内实际供氧量少于理论需氧量来说明</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C．</w:t>
            </w:r>
          </w:p>
        </w:tc>
        <w:tc>
          <w:tcPr>
            <w:tcW w:w="4900" w:type="pct"/>
          </w:tcPr>
          <w:p>
            <w:pPr>
              <w:pStyle w:val="DefaultParagraph"/>
              <w:rPr>
                <w:b/>
                <w:szCs w:val="21"/>
              </w:rPr>
            </w:pPr>
            <w:r>
              <w:rPr>
                <w:b/>
                <w:szCs w:val="21"/>
              </w:rPr>
              <w:t>剧烈运动过程中有一半C</w:t>
            </w:r>
            <w:r>
              <w:rPr>
                <w:b/>
                <w:szCs w:val="21"/>
                <w:vertAlign w:val="subscript"/>
              </w:rPr>
              <w:t>6</w:t>
            </w:r>
            <w:r>
              <w:rPr>
                <w:b/>
                <w:szCs w:val="21"/>
              </w:rPr>
              <w:t>H</w:t>
            </w:r>
            <w:r>
              <w:rPr>
                <w:b/>
                <w:szCs w:val="21"/>
                <w:vertAlign w:val="subscript"/>
              </w:rPr>
              <w:t>12</w:t>
            </w:r>
            <w:r>
              <w:rPr>
                <w:b/>
                <w:szCs w:val="21"/>
              </w:rPr>
              <w:t>O</w:t>
            </w:r>
            <w:r>
              <w:rPr>
                <w:b/>
                <w:szCs w:val="21"/>
                <w:vertAlign w:val="subscript"/>
              </w:rPr>
              <w:t>6</w:t>
            </w:r>
            <w:r>
              <w:rPr>
                <w:b/>
                <w:szCs w:val="21"/>
              </w:rPr>
              <w:t>发生以下反应：C</w:t>
            </w:r>
            <w:r>
              <w:rPr>
                <w:b/>
                <w:szCs w:val="21"/>
                <w:vertAlign w:val="subscript"/>
              </w:rPr>
              <w:t>6</w:t>
            </w:r>
            <w:r>
              <w:rPr>
                <w:b/>
                <w:szCs w:val="21"/>
              </w:rPr>
              <w:t>H</w:t>
            </w:r>
            <w:r>
              <w:rPr>
                <w:b/>
                <w:szCs w:val="21"/>
                <w:vertAlign w:val="subscript"/>
              </w:rPr>
              <w:t>12</w:t>
            </w:r>
            <w:r>
              <w:rPr>
                <w:b/>
                <w:szCs w:val="21"/>
              </w:rPr>
              <w:t>O</w:t>
            </w:r>
            <w:r>
              <w:rPr>
                <w:b/>
                <w:szCs w:val="21"/>
                <w:vertAlign w:val="subscript"/>
              </w:rPr>
              <w:t>6</w:t>
            </w:r>
            <w:r>
              <w:rPr>
                <w:b/>
                <w:szCs w:val="21"/>
              </w:rPr>
              <w:t>→C</w:t>
            </w:r>
            <w:r>
              <w:rPr>
                <w:b/>
                <w:szCs w:val="21"/>
                <w:vertAlign w:val="subscript"/>
              </w:rPr>
              <w:t>3</w:t>
            </w:r>
            <w:r>
              <w:rPr>
                <w:b/>
                <w:szCs w:val="21"/>
              </w:rPr>
              <w:t>H</w:t>
            </w:r>
            <w:r>
              <w:rPr>
                <w:b/>
                <w:szCs w:val="21"/>
                <w:vertAlign w:val="subscript"/>
              </w:rPr>
              <w:t>6</w:t>
            </w:r>
            <w:r>
              <w:rPr>
                <w:b/>
                <w:szCs w:val="21"/>
              </w:rPr>
              <w:t>O</w:t>
            </w:r>
            <w:r>
              <w:rPr>
                <w:b/>
                <w:szCs w:val="21"/>
                <w:vertAlign w:val="subscript"/>
              </w:rPr>
              <w:t>3</w:t>
            </w:r>
            <w:r>
              <w:rPr>
                <w:b/>
                <w:szCs w:val="21"/>
              </w:rPr>
              <w:t>+能量</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D．</w:t>
            </w:r>
          </w:p>
        </w:tc>
        <w:tc>
          <w:tcPr>
            <w:tcW w:w="4900" w:type="pct"/>
          </w:tcPr>
          <w:p>
            <w:pPr>
              <w:pStyle w:val="DefaultParagraph"/>
              <w:rPr>
                <w:b/>
                <w:szCs w:val="21"/>
              </w:rPr>
            </w:pPr>
            <w:r>
              <w:rPr>
                <w:b/>
                <w:szCs w:val="21"/>
              </w:rPr>
              <w:t>如果在运功过程测定血液pH，发现无大的变化，原因是血浆中有多对缓冲物质调节pH</w:t>
            </w:r>
          </w:p>
        </w:tc>
      </w:tr>
    </w:tbl>
    <w:p>
      <w:pPr>
        <w:pStyle w:val="DefaultParagraph"/>
        <w:rPr>
          <w:b/>
          <w:szCs w:val="21"/>
        </w:rPr>
      </w:pPr>
      <w:r>
        <w:rPr>
          <w:b/>
          <w:szCs w:val="21"/>
        </w:rPr>
        <w:t>5．某种有机磷农药能使突触间隙中的乙酰胆碱酯酶（分解乙酰胆碱）活性受抑制，某种蝎毒会抑制 Na</w:t>
      </w:r>
      <w:r>
        <w:rPr>
          <w:b/>
          <w:szCs w:val="21"/>
          <w:vertAlign w:val="superscript"/>
        </w:rPr>
        <w:t>+</w:t>
      </w:r>
      <w:r>
        <w:rPr>
          <w:b/>
          <w:szCs w:val="21"/>
        </w:rPr>
        <w:t>通道的打开．如图表示动作电位传导的示意图，其中a为突触前膜，b为突触后膜．下列叙述正确的是（　　）</w:t>
      </w:r>
      <w:r>
        <w:rPr>
          <w:b/>
          <w:szCs w:val="21"/>
        </w:rPr>
        <w:pict>
          <v:shape id="Picture24" o:spid="_x0000_i1028" type="#_x0000_t75" style="width:278.77pt;height:108.75pt;mso-position-horizontal-relative:page;mso-position-vertical-relative:page;mso-wrap-style:square" filled="f" stroked="f">
            <v:stroke linestyle="single"/>
            <v:imagedata r:id="rId7" o:title=""/>
            <v:path o:extrusionok="f"/>
            <o:lock v:ext="edit" aspectratio="t"/>
          </v:shape>
        </w:pict>
      </w:r>
    </w:p>
    <w:tbl>
      <w:tblPr>
        <w:tblStyle w:val="TableNormal"/>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
      <w:tblGrid>
        <w:gridCol w:w="12"/>
        <w:gridCol w:w="217"/>
        <w:gridCol w:w="8236"/>
      </w:tblGrid>
      <w:tr>
        <w:tblPrEx>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A．</w:t>
            </w:r>
          </w:p>
        </w:tc>
        <w:tc>
          <w:tcPr>
            <w:tcW w:w="4900" w:type="pct"/>
          </w:tcPr>
          <w:p>
            <w:pPr>
              <w:pStyle w:val="DefaultParagraph"/>
              <w:rPr>
                <w:b/>
                <w:szCs w:val="21"/>
              </w:rPr>
            </w:pPr>
            <w:r>
              <w:rPr>
                <w:b/>
                <w:szCs w:val="21"/>
              </w:rPr>
              <w:t>轴突膜处于②状态时，Na</w:t>
            </w:r>
            <w:r>
              <w:rPr>
                <w:b/>
                <w:szCs w:val="21"/>
                <w:vertAlign w:val="superscript"/>
              </w:rPr>
              <w:t>+</w:t>
            </w:r>
            <w:r>
              <w:rPr>
                <w:b/>
                <w:szCs w:val="21"/>
              </w:rPr>
              <w:t>内流且不需要消耗ATP</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B．</w:t>
            </w:r>
          </w:p>
        </w:tc>
        <w:tc>
          <w:tcPr>
            <w:tcW w:w="4900" w:type="pct"/>
          </w:tcPr>
          <w:p>
            <w:pPr>
              <w:pStyle w:val="DefaultParagraph"/>
              <w:rPr>
                <w:b/>
                <w:szCs w:val="21"/>
              </w:rPr>
            </w:pPr>
            <w:r>
              <w:rPr>
                <w:b/>
                <w:szCs w:val="21"/>
              </w:rPr>
              <w:t>处于③与④之间的轴突膜，Na</w:t>
            </w:r>
            <w:r>
              <w:rPr>
                <w:b/>
                <w:szCs w:val="21"/>
                <w:vertAlign w:val="superscript"/>
              </w:rPr>
              <w:t>+</w:t>
            </w:r>
            <w:r>
              <w:rPr>
                <w:b/>
                <w:szCs w:val="21"/>
              </w:rPr>
              <w:t>通道大量开放</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C．</w:t>
            </w:r>
          </w:p>
        </w:tc>
        <w:tc>
          <w:tcPr>
            <w:tcW w:w="4900" w:type="pct"/>
          </w:tcPr>
          <w:p>
            <w:pPr>
              <w:pStyle w:val="DefaultParagraph"/>
              <w:rPr>
                <w:b/>
                <w:szCs w:val="21"/>
              </w:rPr>
            </w:pPr>
            <w:r>
              <w:rPr>
                <w:b/>
                <w:szCs w:val="21"/>
              </w:rPr>
              <w:t>若使用该种有机磷农药，则在a处不能释放乙酰胆碱</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D．</w:t>
            </w:r>
          </w:p>
        </w:tc>
        <w:tc>
          <w:tcPr>
            <w:tcW w:w="4900" w:type="pct"/>
          </w:tcPr>
          <w:p>
            <w:pPr>
              <w:pStyle w:val="DefaultParagraph"/>
              <w:rPr>
                <w:b/>
                <w:szCs w:val="21"/>
              </w:rPr>
            </w:pPr>
            <w:r>
              <w:rPr>
                <w:b/>
                <w:szCs w:val="21"/>
              </w:rPr>
              <w:t>若使用该种蝎毒，则能引起b处去极化，形成一个小电位</w:t>
            </w:r>
          </w:p>
        </w:tc>
      </w:tr>
    </w:tbl>
    <w:p>
      <w:pPr>
        <w:pStyle w:val="DefaultParagraph"/>
        <w:rPr>
          <w:b/>
          <w:szCs w:val="21"/>
        </w:rPr>
      </w:pPr>
      <w:r>
        <w:rPr>
          <w:b/>
          <w:szCs w:val="21"/>
        </w:rPr>
        <w:t>6．神经递质乙酰胆碱与突触后膜的乙酰胆碱受体（AChR）结合，突触后膜兴奋，引起肌肉收缩．重症肌无力患者体内该过程出现异常，其发病机理示意图如下．下列叙述错误的是（　　）</w:t>
      </w:r>
      <w:r>
        <w:rPr>
          <w:b/>
          <w:szCs w:val="21"/>
        </w:rPr>
        <w:pict>
          <v:shape id="Picture24" o:spid="_x0000_i1029" type="#_x0000_t75" style="width:310.99pt;height:32.98pt;mso-position-horizontal-relative:page;mso-position-vertical-relative:page;mso-wrap-style:square" filled="f" stroked="f">
            <v:stroke linestyle="single"/>
            <v:imagedata r:id="rId8" o:title=""/>
            <v:path o:extrusionok="f"/>
            <o:lock v:ext="edit" aspectratio="t"/>
          </v:shape>
        </w:pict>
      </w:r>
    </w:p>
    <w:tbl>
      <w:tblPr>
        <w:tblStyle w:val="TableNormal"/>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
      <w:tblGrid>
        <w:gridCol w:w="12"/>
        <w:gridCol w:w="217"/>
        <w:gridCol w:w="8236"/>
      </w:tblGrid>
      <w:tr>
        <w:tblPrEx>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A．</w:t>
            </w:r>
          </w:p>
        </w:tc>
        <w:tc>
          <w:tcPr>
            <w:tcW w:w="4900" w:type="pct"/>
          </w:tcPr>
          <w:p>
            <w:pPr>
              <w:pStyle w:val="DefaultParagraph"/>
              <w:rPr>
                <w:b/>
                <w:szCs w:val="21"/>
              </w:rPr>
            </w:pPr>
            <w:r>
              <w:rPr>
                <w:b/>
                <w:szCs w:val="21"/>
              </w:rPr>
              <w:t>抗体a引发的重症肌无力属于自身免疫病</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B．</w:t>
            </w:r>
          </w:p>
        </w:tc>
        <w:tc>
          <w:tcPr>
            <w:tcW w:w="4900" w:type="pct"/>
          </w:tcPr>
          <w:p>
            <w:pPr>
              <w:pStyle w:val="DefaultParagraph"/>
              <w:rPr>
                <w:b/>
                <w:szCs w:val="21"/>
              </w:rPr>
            </w:pPr>
            <w:r>
              <w:rPr>
                <w:b/>
                <w:szCs w:val="21"/>
              </w:rPr>
              <w:t>抗a抗体与物质a的结合物不能被吞噬细胞清除</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rPr>
            </w:pPr>
            <w:r>
              <w:rPr>
                <w:b/>
              </w:rPr>
              <w:t>　</w:t>
            </w:r>
          </w:p>
        </w:tc>
        <w:tc>
          <w:tcPr>
            <w:tcW w:w="330" w:type="dxa"/>
          </w:tcPr>
          <w:p>
            <w:pPr>
              <w:pStyle w:val="DefaultParagraph"/>
              <w:rPr>
                <w:b/>
              </w:rPr>
            </w:pPr>
            <w:r>
              <w:rPr>
                <w:b/>
              </w:rPr>
              <w:t>C．</w:t>
            </w:r>
          </w:p>
        </w:tc>
        <w:tc>
          <w:tcPr>
            <w:tcW w:w="4900" w:type="pct"/>
          </w:tcPr>
          <w:p>
            <w:pPr>
              <w:pStyle w:val="DefaultParagraph"/>
              <w:rPr>
                <w:b/>
              </w:rPr>
            </w:pPr>
            <w:r>
              <w:rPr>
                <w:b/>
              </w:rPr>
              <w:t>物质a可激活记忆细胞增殖分化为浆细胞导致病情加重</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rPr>
            </w:pPr>
            <w:r>
              <w:rPr>
                <w:b/>
              </w:rPr>
              <w:t>　</w:t>
            </w:r>
          </w:p>
        </w:tc>
        <w:tc>
          <w:tcPr>
            <w:tcW w:w="330" w:type="dxa"/>
          </w:tcPr>
          <w:p>
            <w:pPr>
              <w:pStyle w:val="DefaultParagraph"/>
              <w:rPr>
                <w:b/>
              </w:rPr>
            </w:pPr>
            <w:r>
              <w:rPr>
                <w:b/>
              </w:rPr>
              <w:t>D．</w:t>
            </w:r>
          </w:p>
        </w:tc>
        <w:tc>
          <w:tcPr>
            <w:tcW w:w="4900" w:type="pct"/>
          </w:tcPr>
          <w:p>
            <w:pPr>
              <w:pStyle w:val="DefaultParagraph"/>
              <w:rPr>
                <w:b/>
              </w:rPr>
            </w:pPr>
            <w:r>
              <w:rPr>
                <w:b/>
              </w:rPr>
              <w:t>患者体内乙酰胆碱与突触后膜的AChR特异性结合减少</w:t>
            </w:r>
          </w:p>
        </w:tc>
      </w:tr>
    </w:tbl>
    <w:p>
      <w:pPr>
        <w:pStyle w:val="DefaultParagraph"/>
        <w:rPr>
          <w:b/>
        </w:rPr>
      </w:pPr>
      <w:r>
        <w:rPr>
          <w:b/>
        </w:rPr>
        <w:t>7．机体内环境稳态是神经调节、体液调节和免疫调节共同作用的结果，是人体进行正常生命活动的必要条件．请结合图解回答下面的问题：（图中A、B、C、D表示器官或细胞；①②③表示物质）分析下列说法中错误的是（　　）</w:t>
      </w:r>
    </w:p>
    <w:p>
      <w:pPr>
        <w:pStyle w:val="DefaultParagraph"/>
        <w:rPr>
          <w:b/>
        </w:rPr>
      </w:pPr>
      <w:r>
        <w:rPr>
          <w:b/>
        </w:rPr>
        <w:pict>
          <v:shape id="Picture24" o:spid="_x0000_i1030" type="#_x0000_t75" style="width:136.5pt;height:171.75pt;mso-position-horizontal-relative:page;mso-position-vertical-relative:page;mso-wrap-style:square" filled="f" stroked="f">
            <v:stroke linestyle="single"/>
            <v:imagedata r:id="rId9" o:title=""/>
            <v:path o:extrusionok="f"/>
            <o:lock v:ext="edit" aspectratio="t"/>
          </v:shape>
        </w:pict>
      </w:r>
    </w:p>
    <w:tbl>
      <w:tblPr>
        <w:tblStyle w:val="TableNormal"/>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
      <w:tblGrid>
        <w:gridCol w:w="12"/>
        <w:gridCol w:w="217"/>
        <w:gridCol w:w="8236"/>
      </w:tblGrid>
      <w:tr>
        <w:tblPrEx>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c>
          <w:tcPr>
            <w:tcW w:w="225" w:type="dxa"/>
          </w:tcPr>
          <w:p>
            <w:pPr>
              <w:pStyle w:val="DefaultParagraph"/>
              <w:rPr>
                <w:b/>
              </w:rPr>
            </w:pPr>
            <w:r>
              <w:rPr>
                <w:b/>
              </w:rPr>
              <w:t>　</w:t>
            </w:r>
          </w:p>
        </w:tc>
        <w:tc>
          <w:tcPr>
            <w:tcW w:w="330" w:type="dxa"/>
          </w:tcPr>
          <w:p>
            <w:pPr>
              <w:pStyle w:val="DefaultParagraph"/>
              <w:rPr>
                <w:b/>
              </w:rPr>
            </w:pPr>
            <w:r>
              <w:rPr>
                <w:b/>
              </w:rPr>
              <w:t>A．</w:t>
            </w:r>
          </w:p>
        </w:tc>
        <w:tc>
          <w:tcPr>
            <w:tcW w:w="4900" w:type="pct"/>
          </w:tcPr>
          <w:p>
            <w:pPr>
              <w:pStyle w:val="DefaultParagraph"/>
              <w:rPr>
                <w:b/>
              </w:rPr>
            </w:pPr>
            <w:r>
              <w:rPr>
                <w:b/>
              </w:rPr>
              <w:t>图中①②③三种物质既体现了激素间分级调节，又体现了反馈调节</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rPr>
            </w:pPr>
            <w:r>
              <w:rPr>
                <w:b/>
              </w:rPr>
              <w:t>　</w:t>
            </w:r>
          </w:p>
        </w:tc>
        <w:tc>
          <w:tcPr>
            <w:tcW w:w="330" w:type="dxa"/>
          </w:tcPr>
          <w:p>
            <w:pPr>
              <w:pStyle w:val="DefaultParagraph"/>
              <w:rPr>
                <w:b/>
              </w:rPr>
            </w:pPr>
            <w:r>
              <w:rPr>
                <w:b/>
              </w:rPr>
              <w:t>B．</w:t>
            </w:r>
          </w:p>
        </w:tc>
        <w:tc>
          <w:tcPr>
            <w:tcW w:w="4900" w:type="pct"/>
          </w:tcPr>
          <w:p>
            <w:pPr>
              <w:pStyle w:val="DefaultParagraph"/>
              <w:rPr>
                <w:b/>
              </w:rPr>
            </w:pPr>
            <w:r>
              <w:rPr>
                <w:b/>
              </w:rPr>
              <w:t>图中A器官既能参与神经调节，又能参与体液调节，是体内神经调节和体液调节的枢纽</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rPr>
            </w:pPr>
            <w:r>
              <w:rPr>
                <w:b/>
              </w:rPr>
              <w:t>　</w:t>
            </w:r>
          </w:p>
        </w:tc>
        <w:tc>
          <w:tcPr>
            <w:tcW w:w="330" w:type="dxa"/>
          </w:tcPr>
          <w:p>
            <w:pPr>
              <w:pStyle w:val="DefaultParagraph"/>
              <w:rPr>
                <w:b/>
              </w:rPr>
            </w:pPr>
            <w:r>
              <w:rPr>
                <w:b/>
              </w:rPr>
              <w:t>C．</w:t>
            </w:r>
          </w:p>
        </w:tc>
        <w:tc>
          <w:tcPr>
            <w:tcW w:w="4900" w:type="pct"/>
          </w:tcPr>
          <w:p>
            <w:pPr>
              <w:pStyle w:val="DefaultParagraph"/>
              <w:rPr>
                <w:b/>
              </w:rPr>
            </w:pPr>
            <w:r>
              <w:rPr>
                <w:b/>
              </w:rPr>
              <w:t>C细胞可产生抗体，其原因是C细胞识别抗原后迅速增殖分化</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rPr>
            </w:pPr>
            <w:r>
              <w:rPr>
                <w:b/>
              </w:rPr>
              <w:t>　</w:t>
            </w:r>
          </w:p>
        </w:tc>
        <w:tc>
          <w:tcPr>
            <w:tcW w:w="330" w:type="dxa"/>
          </w:tcPr>
          <w:p>
            <w:pPr>
              <w:pStyle w:val="DefaultParagraph"/>
              <w:rPr>
                <w:b/>
              </w:rPr>
            </w:pPr>
            <w:r>
              <w:rPr>
                <w:b/>
              </w:rPr>
              <w:t>D．</w:t>
            </w:r>
          </w:p>
        </w:tc>
        <w:tc>
          <w:tcPr>
            <w:tcW w:w="4900" w:type="pct"/>
          </w:tcPr>
          <w:p>
            <w:pPr>
              <w:pStyle w:val="DefaultParagraph"/>
              <w:rPr>
                <w:b/>
              </w:rPr>
            </w:pPr>
            <w:r>
              <w:rPr>
                <w:b/>
              </w:rPr>
              <w:t>长期焦虑和紧张会导致机体免疫力下降，原因是D细胞活性下降使淋巴因子的分泌减少，影响了特异性免疫</w:t>
            </w:r>
          </w:p>
        </w:tc>
      </w:tr>
    </w:tbl>
    <w:p>
      <w:pPr>
        <w:pStyle w:val="DefaultParagraph"/>
        <w:rPr>
          <w:b/>
        </w:rPr>
      </w:pPr>
      <w:r>
        <w:rPr>
          <w:b/>
        </w:rPr>
        <w:t>8．如图是人体体温调节的曲线图，据图分析下列说法正确的是（　　）</w:t>
      </w:r>
    </w:p>
    <w:p>
      <w:pPr>
        <w:pStyle w:val="DefaultParagraph"/>
        <w:rPr>
          <w:b/>
        </w:rPr>
      </w:pPr>
      <w:r>
        <w:rPr>
          <w:b/>
        </w:rPr>
        <w:pict>
          <v:shape id="Picture24" o:spid="_x0000_i1031" type="#_x0000_t75" style="width:144.61pt;height:85.5pt;mso-position-horizontal-relative:page;mso-position-vertical-relative:page;mso-wrap-style:square" filled="f" stroked="f">
            <v:stroke linestyle="single"/>
            <v:imagedata r:id="rId10" o:title=""/>
            <v:path o:extrusionok="f"/>
            <o:lock v:ext="edit" aspectratio="t"/>
          </v:shape>
        </w:pict>
      </w:r>
    </w:p>
    <w:tbl>
      <w:tblPr>
        <w:tblStyle w:val="TableNormal"/>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
      <w:tblGrid>
        <w:gridCol w:w="12"/>
        <w:gridCol w:w="217"/>
        <w:gridCol w:w="8236"/>
      </w:tblGrid>
      <w:tr>
        <w:tblPrEx>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c>
          <w:tcPr>
            <w:tcW w:w="225" w:type="dxa"/>
          </w:tcPr>
          <w:p>
            <w:pPr>
              <w:pStyle w:val="DefaultParagraph"/>
              <w:rPr>
                <w:b/>
              </w:rPr>
            </w:pPr>
            <w:r>
              <w:rPr>
                <w:b/>
              </w:rPr>
              <w:t>　</w:t>
            </w:r>
          </w:p>
        </w:tc>
        <w:tc>
          <w:tcPr>
            <w:tcW w:w="330" w:type="dxa"/>
          </w:tcPr>
          <w:p>
            <w:pPr>
              <w:pStyle w:val="DefaultParagraph"/>
              <w:rPr>
                <w:b/>
              </w:rPr>
            </w:pPr>
            <w:r>
              <w:rPr>
                <w:b/>
              </w:rPr>
              <w:t>A．</w:t>
            </w:r>
          </w:p>
        </w:tc>
        <w:tc>
          <w:tcPr>
            <w:tcW w:w="4900" w:type="pct"/>
          </w:tcPr>
          <w:p>
            <w:pPr>
              <w:pStyle w:val="DefaultParagraph"/>
              <w:rPr>
                <w:b/>
              </w:rPr>
            </w:pPr>
            <w:r>
              <w:rPr>
                <w:b/>
              </w:rPr>
              <w:t>t</w:t>
            </w:r>
            <w:r>
              <w:rPr>
                <w:b/>
                <w:sz w:val="24"/>
                <w:szCs w:val="24"/>
                <w:vertAlign w:val="subscript"/>
              </w:rPr>
              <w:t>3</w:t>
            </w:r>
            <w:r>
              <w:rPr>
                <w:b/>
              </w:rPr>
              <w:t>以后，散热量比t</w:t>
            </w:r>
            <w:r>
              <w:rPr>
                <w:b/>
                <w:sz w:val="24"/>
                <w:szCs w:val="24"/>
                <w:vertAlign w:val="subscript"/>
              </w:rPr>
              <w:t>1</w:t>
            </w:r>
            <w:r>
              <w:rPr>
                <w:b/>
              </w:rPr>
              <w:t>时多，体温下降</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rPr>
            </w:pPr>
            <w:r>
              <w:rPr>
                <w:b/>
              </w:rPr>
              <w:t>　</w:t>
            </w:r>
          </w:p>
        </w:tc>
        <w:tc>
          <w:tcPr>
            <w:tcW w:w="330" w:type="dxa"/>
          </w:tcPr>
          <w:p>
            <w:pPr>
              <w:pStyle w:val="DefaultParagraph"/>
              <w:rPr>
                <w:b/>
              </w:rPr>
            </w:pPr>
            <w:r>
              <w:rPr>
                <w:b/>
              </w:rPr>
              <w:t>B．</w:t>
            </w:r>
          </w:p>
        </w:tc>
        <w:tc>
          <w:tcPr>
            <w:tcW w:w="4900" w:type="pct"/>
          </w:tcPr>
          <w:p>
            <w:pPr>
              <w:pStyle w:val="DefaultParagraph"/>
              <w:rPr>
                <w:b/>
              </w:rPr>
            </w:pPr>
            <w:r>
              <w:rPr>
                <w:b/>
              </w:rPr>
              <w:t>t</w:t>
            </w:r>
            <w:r>
              <w:rPr>
                <w:b/>
                <w:sz w:val="24"/>
                <w:szCs w:val="24"/>
                <w:vertAlign w:val="subscript"/>
              </w:rPr>
              <w:t>2</w:t>
            </w:r>
            <w:r>
              <w:rPr>
                <w:b/>
              </w:rPr>
              <w:t>开始阶段，散热量增加，产热量也增加，体温会升高</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rPr>
            </w:pPr>
            <w:r>
              <w:rPr>
                <w:b/>
              </w:rPr>
              <w:t>　</w:t>
            </w:r>
          </w:p>
        </w:tc>
        <w:tc>
          <w:tcPr>
            <w:tcW w:w="330" w:type="dxa"/>
          </w:tcPr>
          <w:p>
            <w:pPr>
              <w:pStyle w:val="DefaultParagraph"/>
              <w:rPr>
                <w:b/>
              </w:rPr>
            </w:pPr>
            <w:r>
              <w:rPr>
                <w:b/>
              </w:rPr>
              <w:t>C．</w:t>
            </w:r>
          </w:p>
        </w:tc>
        <w:tc>
          <w:tcPr>
            <w:tcW w:w="4900" w:type="pct"/>
          </w:tcPr>
          <w:p>
            <w:pPr>
              <w:pStyle w:val="DefaultParagraph"/>
              <w:rPr>
                <w:b/>
              </w:rPr>
            </w:pPr>
            <w:r>
              <w:rPr>
                <w:b/>
              </w:rPr>
              <w:t>当环境温度为25℃时，散热量较少，产热量较多，体温会上升</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rPr>
            </w:pPr>
            <w:r>
              <w:rPr>
                <w:b/>
              </w:rPr>
              <w:t>　</w:t>
            </w:r>
          </w:p>
        </w:tc>
        <w:tc>
          <w:tcPr>
            <w:tcW w:w="330" w:type="dxa"/>
          </w:tcPr>
          <w:p>
            <w:pPr>
              <w:pStyle w:val="DefaultParagraph"/>
              <w:rPr>
                <w:b/>
              </w:rPr>
            </w:pPr>
            <w:r>
              <w:rPr>
                <w:b/>
              </w:rPr>
              <w:t>D．</w:t>
            </w:r>
          </w:p>
        </w:tc>
        <w:tc>
          <w:tcPr>
            <w:tcW w:w="4900" w:type="pct"/>
          </w:tcPr>
          <w:p>
            <w:pPr>
              <w:pStyle w:val="DefaultParagraph"/>
              <w:rPr>
                <w:b/>
              </w:rPr>
            </w:pPr>
            <w:r>
              <w:rPr>
                <w:b/>
              </w:rPr>
              <w:t>从t</w:t>
            </w:r>
            <w:r>
              <w:rPr>
                <w:b/>
                <w:sz w:val="24"/>
                <w:szCs w:val="24"/>
                <w:vertAlign w:val="subscript"/>
              </w:rPr>
              <w:t>1</w:t>
            </w:r>
            <w:r>
              <w:rPr>
                <w:b/>
              </w:rPr>
              <w:t>到t</w:t>
            </w:r>
            <w:r>
              <w:rPr>
                <w:b/>
                <w:sz w:val="24"/>
                <w:szCs w:val="24"/>
                <w:vertAlign w:val="subscript"/>
              </w:rPr>
              <w:t>2</w:t>
            </w:r>
            <w:r>
              <w:rPr>
                <w:b/>
              </w:rPr>
              <w:t>，散热量增加是由于人体体温与环境温度的温差加大</w:t>
            </w:r>
          </w:p>
        </w:tc>
      </w:tr>
    </w:tbl>
    <w:p>
      <w:pPr>
        <w:pStyle w:val="DefaultParagraph"/>
        <w:rPr>
          <w:b/>
        </w:rPr>
      </w:pPr>
      <w:r>
        <w:rPr>
          <w:b/>
        </w:rPr>
        <w:t>9．γ﹣氨基丁酸（GABA）和某种局部麻醉药在神经兴奋传递过程中的作用机理如下图所示．此种局麻药单独使用时不能通过细胞膜，如与辣椒素同时注射才会发生如图所示效果．下列分析不正确的是（　　）</w:t>
      </w:r>
    </w:p>
    <w:p>
      <w:pPr>
        <w:pStyle w:val="DefaultParagraph"/>
        <w:rPr>
          <w:b/>
        </w:rPr>
      </w:pPr>
      <w:r>
        <w:rPr>
          <w:b/>
        </w:rPr>
        <w:pict>
          <v:shape id="Picture24" o:spid="_x0000_i1032" type="#_x0000_t75" style="width:346.95pt;height:114.65pt;mso-position-horizontal-relative:page;mso-position-vertical-relative:page;mso-wrap-style:square" filled="f" stroked="f">
            <v:stroke linestyle="single"/>
            <v:imagedata r:id="rId11" o:title=""/>
            <v:path o:extrusionok="f"/>
            <o:lock v:ext="edit" aspectratio="t"/>
          </v:shape>
        </w:pict>
      </w:r>
    </w:p>
    <w:tbl>
      <w:tblPr>
        <w:tblStyle w:val="TableNormal"/>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
      <w:tblGrid>
        <w:gridCol w:w="12"/>
        <w:gridCol w:w="217"/>
        <w:gridCol w:w="8236"/>
      </w:tblGrid>
      <w:tr>
        <w:tblPrEx>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c>
          <w:tcPr>
            <w:tcW w:w="225" w:type="dxa"/>
          </w:tcPr>
          <w:p>
            <w:pPr>
              <w:pStyle w:val="DefaultParagraph"/>
              <w:rPr>
                <w:b/>
              </w:rPr>
            </w:pPr>
            <w:r>
              <w:rPr>
                <w:b/>
              </w:rPr>
              <w:t>　</w:t>
            </w:r>
          </w:p>
        </w:tc>
        <w:tc>
          <w:tcPr>
            <w:tcW w:w="330" w:type="dxa"/>
          </w:tcPr>
          <w:p>
            <w:pPr>
              <w:pStyle w:val="DefaultParagraph"/>
              <w:rPr>
                <w:b/>
              </w:rPr>
            </w:pPr>
            <w:r>
              <w:rPr>
                <w:b/>
              </w:rPr>
              <w:t>A．</w:t>
            </w:r>
          </w:p>
        </w:tc>
        <w:tc>
          <w:tcPr>
            <w:tcW w:w="4900" w:type="pct"/>
          </w:tcPr>
          <w:p>
            <w:pPr>
              <w:pStyle w:val="DefaultParagraph"/>
              <w:rPr>
                <w:b/>
              </w:rPr>
            </w:pPr>
            <w:r>
              <w:rPr>
                <w:b/>
              </w:rPr>
              <w:t>GABA与突触后膜上受体结合后引起膜内电位由负变为正</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rPr>
            </w:pPr>
            <w:r>
              <w:rPr>
                <w:b/>
              </w:rPr>
              <w:t>　</w:t>
            </w:r>
          </w:p>
        </w:tc>
        <w:tc>
          <w:tcPr>
            <w:tcW w:w="330" w:type="dxa"/>
          </w:tcPr>
          <w:p>
            <w:pPr>
              <w:pStyle w:val="DefaultParagraph"/>
              <w:rPr>
                <w:b/>
              </w:rPr>
            </w:pPr>
            <w:r>
              <w:rPr>
                <w:b/>
              </w:rPr>
              <w:t>B．</w:t>
            </w:r>
          </w:p>
        </w:tc>
        <w:tc>
          <w:tcPr>
            <w:tcW w:w="4900" w:type="pct"/>
          </w:tcPr>
          <w:p>
            <w:pPr>
              <w:pStyle w:val="DefaultParagraph"/>
              <w:rPr>
                <w:b/>
              </w:rPr>
            </w:pPr>
            <w:r>
              <w:rPr>
                <w:b/>
              </w:rPr>
              <w:t>喹诺酮类药物能抑制脑内GABA与受体结合，服用该药可增强中枢神经系统兴奋性</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rPr>
            </w:pPr>
            <w:r>
              <w:rPr>
                <w:b/>
              </w:rPr>
              <w:t>　</w:t>
            </w:r>
          </w:p>
        </w:tc>
        <w:tc>
          <w:tcPr>
            <w:tcW w:w="330" w:type="dxa"/>
          </w:tcPr>
          <w:p>
            <w:pPr>
              <w:pStyle w:val="DefaultParagraph"/>
              <w:rPr>
                <w:b/>
              </w:rPr>
            </w:pPr>
            <w:r>
              <w:rPr>
                <w:b/>
              </w:rPr>
              <w:t>C．</w:t>
            </w:r>
          </w:p>
        </w:tc>
        <w:tc>
          <w:tcPr>
            <w:tcW w:w="4900" w:type="pct"/>
          </w:tcPr>
          <w:p>
            <w:pPr>
              <w:pStyle w:val="DefaultParagraph"/>
              <w:rPr>
                <w:b/>
              </w:rPr>
            </w:pPr>
            <w:r>
              <w:rPr>
                <w:b/>
              </w:rPr>
              <w:t>局部麻醉药作用于突触后膜的Na</w:t>
            </w:r>
            <w:r>
              <w:rPr>
                <w:b/>
                <w:sz w:val="24"/>
                <w:szCs w:val="24"/>
                <w:vertAlign w:val="superscript"/>
              </w:rPr>
              <w:t>+</w:t>
            </w:r>
            <w:r>
              <w:rPr>
                <w:b/>
              </w:rPr>
              <w:t>通道，阻碍Na</w:t>
            </w:r>
            <w:r>
              <w:rPr>
                <w:b/>
                <w:sz w:val="24"/>
                <w:szCs w:val="24"/>
                <w:vertAlign w:val="superscript"/>
              </w:rPr>
              <w:t>+</w:t>
            </w:r>
            <w:r>
              <w:rPr>
                <w:b/>
              </w:rPr>
              <w:t>内流，抑制突触后膜产生兴奋</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rPr>
            </w:pPr>
            <w:r>
              <w:rPr>
                <w:b/>
              </w:rPr>
              <w:t>　</w:t>
            </w:r>
          </w:p>
        </w:tc>
        <w:tc>
          <w:tcPr>
            <w:tcW w:w="330" w:type="dxa"/>
          </w:tcPr>
          <w:p>
            <w:pPr>
              <w:pStyle w:val="DefaultParagraph"/>
              <w:rPr>
                <w:b/>
              </w:rPr>
            </w:pPr>
            <w:r>
              <w:rPr>
                <w:b/>
              </w:rPr>
              <w:t>D．</w:t>
            </w:r>
          </w:p>
        </w:tc>
        <w:tc>
          <w:tcPr>
            <w:tcW w:w="4900" w:type="pct"/>
          </w:tcPr>
          <w:p>
            <w:pPr>
              <w:pStyle w:val="DefaultParagraph"/>
              <w:rPr>
                <w:b/>
              </w:rPr>
            </w:pPr>
            <w:r>
              <w:rPr>
                <w:b/>
              </w:rPr>
              <w:t>兴奋在两个神经元之间传递时，会发生生物膜的融合和转化以及ATP的合成和分解</w:t>
            </w:r>
          </w:p>
        </w:tc>
      </w:tr>
    </w:tbl>
    <w:p>
      <w:pPr>
        <w:pStyle w:val="DefaultParagraph"/>
        <w:rPr>
          <w:b/>
        </w:rPr>
      </w:pPr>
      <w:r>
        <w:rPr>
          <w:b/>
        </w:rPr>
        <w:t>10．给予相同位置不同刺激，记录传入神经上的电信号及产生的感觉，结果如图所示．下列相关分析错误的（　　）</w:t>
      </w:r>
    </w:p>
    <w:tbl>
      <w:tblPr>
        <w:tblStyle w:val="TableNormal"/>
        <w:tblW w:w="0" w:type="auto"/>
        <w:jc w:val="center"/>
        <w:tblInd w:w="-1"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0" w:type="dxa"/>
          <w:left w:w="0" w:type="dxa"/>
          <w:bottom w:w="0" w:type="dxa"/>
          <w:right w:w="0" w:type="dxa"/>
        </w:tblCellMar>
        <w:tblLook w:val="0000"/>
      </w:tblPr>
      <w:tblGrid>
        <w:gridCol w:w="12"/>
        <w:gridCol w:w="345"/>
        <w:gridCol w:w="1187"/>
        <w:gridCol w:w="1539"/>
        <w:gridCol w:w="1627"/>
        <w:gridCol w:w="1539"/>
        <w:gridCol w:w="1539"/>
        <w:gridCol w:w="677"/>
      </w:tblGrid>
      <w:tr>
        <w:tblPrEx>
          <w:tblW w:w="0" w:type="auto"/>
          <w:jc w:val="center"/>
          <w:tblInd w:w="-1"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0" w:type="dxa"/>
            <w:left w:w="0" w:type="dxa"/>
            <w:bottom w:w="0" w:type="dxa"/>
            <w:right w:w="0" w:type="dxa"/>
          </w:tblCellMar>
          <w:tblLook w:val="0000"/>
        </w:tblPrEx>
        <w:trPr>
          <w:gridAfter w:val="1"/>
          <w:wAfter w:w="762" w:type="dxa"/>
          <w:jc w:val="center"/>
        </w:trPr>
        <w:tc>
          <w:tcPr>
            <w:tcW w:w="1710" w:type="dxa"/>
            <w:gridSpan w:val="3"/>
            <w:vAlign w:val="center"/>
          </w:tcPr>
          <w:p>
            <w:pPr>
              <w:pStyle w:val="DefaultParagraph"/>
              <w:jc w:val="center"/>
              <w:rPr>
                <w:b/>
                <w:sz w:val="18"/>
                <w:szCs w:val="18"/>
              </w:rPr>
            </w:pPr>
            <w:r>
              <w:rPr>
                <w:b/>
                <w:sz w:val="18"/>
                <w:szCs w:val="18"/>
              </w:rPr>
              <w:t>刺激类型</w:t>
            </w:r>
          </w:p>
        </w:tc>
        <w:tc>
          <w:tcPr>
            <w:tcW w:w="1710" w:type="dxa"/>
            <w:vAlign w:val="center"/>
          </w:tcPr>
          <w:p>
            <w:pPr>
              <w:pStyle w:val="DefaultParagraph"/>
              <w:jc w:val="center"/>
              <w:rPr>
                <w:b/>
                <w:sz w:val="18"/>
                <w:szCs w:val="18"/>
              </w:rPr>
            </w:pPr>
            <w:r>
              <w:rPr>
                <w:b/>
                <w:sz w:val="18"/>
                <w:szCs w:val="18"/>
              </w:rPr>
              <w:t>刺激强度</w:t>
            </w:r>
          </w:p>
        </w:tc>
        <w:tc>
          <w:tcPr>
            <w:tcW w:w="1710" w:type="dxa"/>
            <w:vAlign w:val="center"/>
          </w:tcPr>
          <w:p>
            <w:pPr>
              <w:pStyle w:val="DefaultParagraph"/>
              <w:jc w:val="center"/>
              <w:rPr>
                <w:b/>
                <w:sz w:val="18"/>
                <w:szCs w:val="18"/>
              </w:rPr>
            </w:pPr>
            <w:r>
              <w:rPr>
                <w:b/>
                <w:sz w:val="18"/>
                <w:szCs w:val="18"/>
              </w:rPr>
              <w:t>传入神经上的电信号（时长相等）</w:t>
            </w:r>
          </w:p>
        </w:tc>
        <w:tc>
          <w:tcPr>
            <w:tcW w:w="1710" w:type="dxa"/>
            <w:vAlign w:val="center"/>
          </w:tcPr>
          <w:p>
            <w:pPr>
              <w:pStyle w:val="DefaultParagraph"/>
              <w:jc w:val="center"/>
              <w:rPr>
                <w:b/>
                <w:sz w:val="18"/>
                <w:szCs w:val="18"/>
              </w:rPr>
            </w:pPr>
            <w:r>
              <w:rPr>
                <w:b/>
                <w:sz w:val="18"/>
                <w:szCs w:val="18"/>
              </w:rPr>
              <w:t>产生的感觉类型</w:t>
            </w:r>
          </w:p>
        </w:tc>
        <w:tc>
          <w:tcPr>
            <w:tcW w:w="1710" w:type="dxa"/>
            <w:vAlign w:val="center"/>
          </w:tcPr>
          <w:p>
            <w:pPr>
              <w:pStyle w:val="DefaultParagraph"/>
              <w:jc w:val="center"/>
              <w:rPr>
                <w:b/>
                <w:sz w:val="18"/>
                <w:szCs w:val="18"/>
              </w:rPr>
            </w:pPr>
            <w:r>
              <w:rPr>
                <w:b/>
                <w:sz w:val="18"/>
                <w:szCs w:val="18"/>
              </w:rPr>
              <w:t>感觉强度</w:t>
            </w:r>
          </w:p>
        </w:tc>
      </w:tr>
      <w:tr>
        <w:tblPrEx>
          <w:tblW w:w="0" w:type="auto"/>
          <w:jc w:val="center"/>
          <w:tblInd w:w="-1" w:type="dxa"/>
          <w:tblCellMar>
            <w:top w:w="0" w:type="dxa"/>
            <w:left w:w="0" w:type="dxa"/>
            <w:bottom w:w="0" w:type="dxa"/>
            <w:right w:w="0" w:type="dxa"/>
          </w:tblCellMar>
          <w:tblLook w:val="0000"/>
        </w:tblPrEx>
        <w:trPr>
          <w:gridAfter w:val="1"/>
          <w:wAfter w:w="762" w:type="dxa"/>
          <w:jc w:val="center"/>
        </w:trPr>
        <w:tc>
          <w:tcPr>
            <w:tcW w:w="1710" w:type="dxa"/>
            <w:gridSpan w:val="3"/>
            <w:vMerge w:val="restart"/>
            <w:vAlign w:val="center"/>
          </w:tcPr>
          <w:p>
            <w:pPr>
              <w:pStyle w:val="DefaultParagraph"/>
              <w:jc w:val="center"/>
              <w:rPr>
                <w:b/>
                <w:sz w:val="18"/>
                <w:szCs w:val="18"/>
              </w:rPr>
            </w:pPr>
            <w:r>
              <w:rPr>
                <w:b/>
                <w:sz w:val="18"/>
                <w:szCs w:val="18"/>
              </w:rPr>
              <w:t>针刺激</w:t>
            </w:r>
          </w:p>
        </w:tc>
        <w:tc>
          <w:tcPr>
            <w:tcW w:w="1710" w:type="dxa"/>
            <w:vAlign w:val="center"/>
          </w:tcPr>
          <w:p>
            <w:pPr>
              <w:pStyle w:val="DefaultParagraph"/>
              <w:jc w:val="center"/>
              <w:rPr>
                <w:b/>
                <w:sz w:val="18"/>
                <w:szCs w:val="18"/>
              </w:rPr>
            </w:pPr>
            <w:r>
              <w:rPr>
                <w:b/>
                <w:sz w:val="18"/>
                <w:szCs w:val="18"/>
              </w:rPr>
              <w:t>较小</w:t>
            </w:r>
          </w:p>
        </w:tc>
        <w:tc>
          <w:tcPr>
            <w:tcW w:w="1710" w:type="dxa"/>
            <w:vAlign w:val="center"/>
          </w:tcPr>
          <w:p>
            <w:pPr>
              <w:pStyle w:val="DefaultParagraph"/>
              <w:jc w:val="center"/>
              <w:rPr>
                <w:b/>
                <w:sz w:val="18"/>
                <w:szCs w:val="18"/>
              </w:rPr>
            </w:pPr>
            <w:r>
              <w:rPr>
                <w:b/>
                <w:sz w:val="18"/>
                <w:szCs w:val="18"/>
              </w:rPr>
              <w:pict>
                <v:shape id="Picture24" o:spid="_x0000_i1033" type="#_x0000_t75" style="width:48pt;height:10.49pt;mso-position-horizontal-relative:page;mso-position-vertical-relative:page;mso-wrap-style:square" filled="f" stroked="f">
                  <v:stroke linestyle="single"/>
                  <v:imagedata r:id="rId12" o:title=""/>
                  <v:path o:extrusionok="f"/>
                  <o:lock v:ext="edit" aspectratio="t"/>
                </v:shape>
              </w:pict>
            </w:r>
          </w:p>
        </w:tc>
        <w:tc>
          <w:tcPr>
            <w:tcW w:w="1710" w:type="dxa"/>
            <w:vMerge w:val="restart"/>
            <w:vAlign w:val="center"/>
          </w:tcPr>
          <w:p>
            <w:pPr>
              <w:pStyle w:val="DefaultParagraph"/>
              <w:jc w:val="center"/>
              <w:rPr>
                <w:b/>
                <w:sz w:val="18"/>
                <w:szCs w:val="18"/>
              </w:rPr>
            </w:pPr>
            <w:r>
              <w:rPr>
                <w:b/>
                <w:sz w:val="18"/>
                <w:szCs w:val="18"/>
              </w:rPr>
              <w:t>刺痛</w:t>
            </w:r>
          </w:p>
        </w:tc>
        <w:tc>
          <w:tcPr>
            <w:tcW w:w="1710" w:type="dxa"/>
            <w:vAlign w:val="center"/>
          </w:tcPr>
          <w:p>
            <w:pPr>
              <w:pStyle w:val="DefaultParagraph"/>
              <w:jc w:val="center"/>
              <w:rPr>
                <w:b/>
                <w:sz w:val="18"/>
                <w:szCs w:val="18"/>
              </w:rPr>
            </w:pPr>
            <w:r>
              <w:rPr>
                <w:b/>
                <w:sz w:val="18"/>
                <w:szCs w:val="18"/>
              </w:rPr>
              <w:t>较弱</w:t>
            </w:r>
          </w:p>
        </w:tc>
      </w:tr>
      <w:tr>
        <w:tblPrEx>
          <w:tblW w:w="0" w:type="auto"/>
          <w:jc w:val="center"/>
          <w:tblInd w:w="-1" w:type="dxa"/>
          <w:tblCellMar>
            <w:top w:w="0" w:type="dxa"/>
            <w:left w:w="0" w:type="dxa"/>
            <w:bottom w:w="0" w:type="dxa"/>
            <w:right w:w="0" w:type="dxa"/>
          </w:tblCellMar>
          <w:tblLook w:val="0000"/>
        </w:tblPrEx>
        <w:trPr>
          <w:gridAfter w:val="1"/>
          <w:wAfter w:w="762" w:type="dxa"/>
          <w:jc w:val="center"/>
        </w:trPr>
        <w:tc>
          <w:tcPr>
            <w:tcW w:w="1710" w:type="dxa"/>
            <w:gridSpan w:val="3"/>
            <w:vMerge/>
            <w:vAlign w:val="center"/>
          </w:tcPr>
          <w:p>
            <w:pPr>
              <w:pStyle w:val="DefaultParagraph"/>
              <w:jc w:val="center"/>
              <w:rPr>
                <w:b/>
                <w:sz w:val="18"/>
                <w:szCs w:val="18"/>
              </w:rPr>
            </w:pPr>
          </w:p>
        </w:tc>
        <w:tc>
          <w:tcPr>
            <w:tcW w:w="1710" w:type="dxa"/>
            <w:vAlign w:val="center"/>
          </w:tcPr>
          <w:p>
            <w:pPr>
              <w:pStyle w:val="DefaultParagraph"/>
              <w:jc w:val="center"/>
              <w:rPr>
                <w:b/>
                <w:sz w:val="18"/>
                <w:szCs w:val="18"/>
              </w:rPr>
            </w:pPr>
            <w:r>
              <w:rPr>
                <w:b/>
                <w:sz w:val="18"/>
                <w:szCs w:val="18"/>
              </w:rPr>
              <w:t>较大</w:t>
            </w:r>
          </w:p>
        </w:tc>
        <w:tc>
          <w:tcPr>
            <w:tcW w:w="1710" w:type="dxa"/>
            <w:vAlign w:val="center"/>
          </w:tcPr>
          <w:p>
            <w:pPr>
              <w:pStyle w:val="DefaultParagraph"/>
              <w:jc w:val="center"/>
              <w:rPr>
                <w:b/>
                <w:sz w:val="18"/>
                <w:szCs w:val="18"/>
              </w:rPr>
            </w:pPr>
            <w:r>
              <w:rPr>
                <w:b/>
                <w:sz w:val="18"/>
                <w:szCs w:val="18"/>
              </w:rPr>
              <w:pict>
                <v:shape id="Picture24" o:spid="_x0000_i1034" type="#_x0000_t75" style="width:45.75pt;height:10.49pt;mso-position-horizontal-relative:page;mso-position-vertical-relative:page;mso-wrap-style:square" filled="f" stroked="f">
                  <v:stroke linestyle="single"/>
                  <v:imagedata r:id="rId13" o:title=""/>
                  <v:path o:extrusionok="f"/>
                  <o:lock v:ext="edit" aspectratio="t"/>
                </v:shape>
              </w:pict>
            </w:r>
          </w:p>
        </w:tc>
        <w:tc>
          <w:tcPr>
            <w:tcW w:w="1710" w:type="dxa"/>
            <w:vMerge/>
            <w:vAlign w:val="center"/>
          </w:tcPr>
          <w:p>
            <w:pPr>
              <w:pStyle w:val="DefaultParagraph"/>
              <w:jc w:val="center"/>
              <w:rPr>
                <w:b/>
                <w:sz w:val="18"/>
                <w:szCs w:val="18"/>
              </w:rPr>
            </w:pPr>
          </w:p>
        </w:tc>
        <w:tc>
          <w:tcPr>
            <w:tcW w:w="1710" w:type="dxa"/>
            <w:vAlign w:val="center"/>
          </w:tcPr>
          <w:p>
            <w:pPr>
              <w:pStyle w:val="DefaultParagraph"/>
              <w:jc w:val="center"/>
              <w:rPr>
                <w:b/>
                <w:sz w:val="18"/>
                <w:szCs w:val="18"/>
              </w:rPr>
            </w:pPr>
            <w:r>
              <w:rPr>
                <w:b/>
                <w:sz w:val="18"/>
                <w:szCs w:val="18"/>
              </w:rPr>
              <w:t>较强</w:t>
            </w:r>
          </w:p>
        </w:tc>
      </w:tr>
      <w:tr>
        <w:tblPrEx>
          <w:tblW w:w="0" w:type="auto"/>
          <w:jc w:val="center"/>
          <w:tblInd w:w="-1" w:type="dxa"/>
          <w:tblCellMar>
            <w:top w:w="0" w:type="dxa"/>
            <w:left w:w="0" w:type="dxa"/>
            <w:bottom w:w="0" w:type="dxa"/>
            <w:right w:w="0" w:type="dxa"/>
          </w:tblCellMar>
          <w:tblLook w:val="0000"/>
        </w:tblPrEx>
        <w:trPr>
          <w:gridAfter w:val="1"/>
          <w:wAfter w:w="762" w:type="dxa"/>
          <w:jc w:val="center"/>
        </w:trPr>
        <w:tc>
          <w:tcPr>
            <w:tcW w:w="1710" w:type="dxa"/>
            <w:gridSpan w:val="3"/>
            <w:vMerge w:val="restart"/>
            <w:vAlign w:val="center"/>
          </w:tcPr>
          <w:p>
            <w:pPr>
              <w:pStyle w:val="DefaultParagraph"/>
              <w:jc w:val="center"/>
              <w:rPr>
                <w:b/>
                <w:sz w:val="18"/>
                <w:szCs w:val="18"/>
              </w:rPr>
            </w:pPr>
            <w:r>
              <w:rPr>
                <w:b/>
                <w:sz w:val="18"/>
                <w:szCs w:val="18"/>
              </w:rPr>
              <w:t>热刺激</w:t>
            </w:r>
          </w:p>
        </w:tc>
        <w:tc>
          <w:tcPr>
            <w:tcW w:w="1710" w:type="dxa"/>
            <w:vAlign w:val="center"/>
          </w:tcPr>
          <w:p>
            <w:pPr>
              <w:pStyle w:val="DefaultParagraph"/>
              <w:jc w:val="center"/>
              <w:rPr>
                <w:b/>
                <w:sz w:val="18"/>
                <w:szCs w:val="18"/>
              </w:rPr>
            </w:pPr>
            <w:r>
              <w:rPr>
                <w:b/>
                <w:sz w:val="18"/>
                <w:szCs w:val="18"/>
              </w:rPr>
              <w:t>较低</w:t>
            </w:r>
          </w:p>
        </w:tc>
        <w:tc>
          <w:tcPr>
            <w:tcW w:w="1710" w:type="dxa"/>
            <w:vAlign w:val="center"/>
          </w:tcPr>
          <w:p>
            <w:pPr>
              <w:pStyle w:val="DefaultParagraph"/>
              <w:jc w:val="center"/>
              <w:rPr>
                <w:b/>
                <w:sz w:val="18"/>
                <w:szCs w:val="18"/>
              </w:rPr>
            </w:pPr>
            <w:r>
              <w:rPr>
                <w:b/>
                <w:sz w:val="18"/>
                <w:szCs w:val="18"/>
              </w:rPr>
              <w:pict>
                <v:shape id="Picture24" o:spid="_x0000_i1035" type="#_x0000_t75" style="width:44.95pt;height:11.24pt;mso-position-horizontal-relative:page;mso-position-vertical-relative:page;mso-wrap-style:square" filled="f" stroked="f">
                  <v:stroke linestyle="single"/>
                  <v:imagedata r:id="rId14" o:title=""/>
                  <v:path o:extrusionok="f"/>
                  <o:lock v:ext="edit" aspectratio="t"/>
                </v:shape>
              </w:pict>
            </w:r>
          </w:p>
        </w:tc>
        <w:tc>
          <w:tcPr>
            <w:tcW w:w="1710" w:type="dxa"/>
            <w:vMerge w:val="restart"/>
            <w:vAlign w:val="center"/>
          </w:tcPr>
          <w:p>
            <w:pPr>
              <w:pStyle w:val="DefaultParagraph"/>
              <w:jc w:val="center"/>
              <w:rPr>
                <w:b/>
                <w:sz w:val="18"/>
                <w:szCs w:val="18"/>
              </w:rPr>
            </w:pPr>
            <w:r>
              <w:rPr>
                <w:b/>
                <w:sz w:val="18"/>
                <w:szCs w:val="18"/>
              </w:rPr>
              <w:t>热感</w:t>
            </w:r>
          </w:p>
        </w:tc>
        <w:tc>
          <w:tcPr>
            <w:tcW w:w="1710" w:type="dxa"/>
            <w:vAlign w:val="center"/>
          </w:tcPr>
          <w:p>
            <w:pPr>
              <w:pStyle w:val="DefaultParagraph"/>
              <w:jc w:val="center"/>
              <w:rPr>
                <w:b/>
                <w:sz w:val="18"/>
                <w:szCs w:val="18"/>
              </w:rPr>
            </w:pPr>
            <w:r>
              <w:rPr>
                <w:b/>
                <w:sz w:val="18"/>
                <w:szCs w:val="18"/>
              </w:rPr>
              <w:t>较弱</w:t>
            </w:r>
          </w:p>
        </w:tc>
      </w:tr>
      <w:tr>
        <w:tblPrEx>
          <w:tblW w:w="0" w:type="auto"/>
          <w:jc w:val="center"/>
          <w:tblInd w:w="-1" w:type="dxa"/>
          <w:tblCellMar>
            <w:top w:w="0" w:type="dxa"/>
            <w:left w:w="0" w:type="dxa"/>
            <w:bottom w:w="0" w:type="dxa"/>
            <w:right w:w="0" w:type="dxa"/>
          </w:tblCellMar>
          <w:tblLook w:val="0000"/>
        </w:tblPrEx>
        <w:trPr>
          <w:gridAfter w:val="1"/>
          <w:wAfter w:w="762" w:type="dxa"/>
          <w:jc w:val="center"/>
        </w:trPr>
        <w:tc>
          <w:tcPr>
            <w:tcW w:w="1710" w:type="dxa"/>
            <w:gridSpan w:val="3"/>
            <w:vMerge/>
            <w:vAlign w:val="center"/>
          </w:tcPr>
          <w:p>
            <w:pPr>
              <w:pStyle w:val="DefaultParagraph"/>
              <w:jc w:val="center"/>
              <w:rPr>
                <w:b/>
                <w:sz w:val="18"/>
                <w:szCs w:val="18"/>
              </w:rPr>
            </w:pPr>
          </w:p>
        </w:tc>
        <w:tc>
          <w:tcPr>
            <w:tcW w:w="1710" w:type="dxa"/>
            <w:vAlign w:val="center"/>
          </w:tcPr>
          <w:p>
            <w:pPr>
              <w:pStyle w:val="DefaultParagraph"/>
              <w:jc w:val="center"/>
              <w:rPr>
                <w:b/>
                <w:sz w:val="18"/>
                <w:szCs w:val="18"/>
              </w:rPr>
            </w:pPr>
            <w:r>
              <w:rPr>
                <w:b/>
                <w:sz w:val="18"/>
                <w:szCs w:val="18"/>
              </w:rPr>
              <w:t>较高</w:t>
            </w:r>
          </w:p>
        </w:tc>
        <w:tc>
          <w:tcPr>
            <w:tcW w:w="1710" w:type="dxa"/>
            <w:vAlign w:val="center"/>
          </w:tcPr>
          <w:p>
            <w:pPr>
              <w:pStyle w:val="DefaultParagraph"/>
              <w:jc w:val="center"/>
              <w:rPr>
                <w:b/>
                <w:sz w:val="18"/>
                <w:szCs w:val="18"/>
              </w:rPr>
            </w:pPr>
            <w:r>
              <w:rPr>
                <w:b/>
                <w:sz w:val="18"/>
                <w:szCs w:val="18"/>
              </w:rPr>
              <w:pict>
                <v:shape id="Picture24" o:spid="_x0000_i1036" type="#_x0000_t75" style="width:44.2pt;height:10.49pt;mso-position-horizontal-relative:page;mso-position-vertical-relative:page;mso-wrap-style:square" filled="f" stroked="f">
                  <v:stroke linestyle="single"/>
                  <v:imagedata r:id="rId15" o:title=""/>
                  <v:path o:extrusionok="f"/>
                  <o:lock v:ext="edit" aspectratio="t"/>
                </v:shape>
              </w:pict>
            </w:r>
          </w:p>
        </w:tc>
        <w:tc>
          <w:tcPr>
            <w:tcW w:w="1710" w:type="dxa"/>
            <w:vMerge/>
            <w:vAlign w:val="center"/>
          </w:tcPr>
          <w:p>
            <w:pPr>
              <w:pStyle w:val="DefaultParagraph"/>
              <w:jc w:val="center"/>
              <w:rPr>
                <w:b/>
                <w:sz w:val="18"/>
                <w:szCs w:val="18"/>
              </w:rPr>
            </w:pPr>
          </w:p>
        </w:tc>
        <w:tc>
          <w:tcPr>
            <w:tcW w:w="1710" w:type="dxa"/>
            <w:vAlign w:val="center"/>
          </w:tcPr>
          <w:p>
            <w:pPr>
              <w:pStyle w:val="DefaultParagraph"/>
              <w:jc w:val="center"/>
              <w:rPr>
                <w:b/>
                <w:sz w:val="18"/>
                <w:szCs w:val="18"/>
              </w:rPr>
            </w:pPr>
            <w:r>
              <w:rPr>
                <w:b/>
                <w:sz w:val="18"/>
                <w:szCs w:val="18"/>
              </w:rPr>
              <w:t>较强</w:t>
            </w:r>
          </w:p>
        </w:tc>
      </w:tr>
      <w:tr>
        <w:tblPrEx>
          <w:tblW w:w="0" w:type="auto"/>
          <w:jc w:val="center"/>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rPr>
          <w:jc w:val="center"/>
        </w:trPr>
        <w:tc>
          <w:tcPr>
            <w:tcW w:w="8" w:type="dxa"/>
          </w:tcPr>
          <w:p>
            <w:pPr>
              <w:pStyle w:val="DefaultParagraph"/>
              <w:rPr>
                <w:b/>
                <w:sz w:val="18"/>
                <w:szCs w:val="18"/>
              </w:rPr>
            </w:pPr>
            <w:r>
              <w:rPr>
                <w:b/>
                <w:sz w:val="18"/>
                <w:szCs w:val="18"/>
              </w:rPr>
              <w:t>　</w:t>
            </w:r>
          </w:p>
        </w:tc>
        <w:tc>
          <w:tcPr>
            <w:tcW w:w="365" w:type="dxa"/>
          </w:tcPr>
          <w:p>
            <w:pPr>
              <w:pStyle w:val="DefaultParagraph"/>
              <w:rPr>
                <w:b/>
                <w:sz w:val="18"/>
                <w:szCs w:val="18"/>
              </w:rPr>
            </w:pPr>
            <w:r>
              <w:rPr>
                <w:b/>
                <w:sz w:val="18"/>
                <w:szCs w:val="18"/>
              </w:rPr>
              <w:t>A．</w:t>
            </w:r>
          </w:p>
        </w:tc>
        <w:tc>
          <w:tcPr>
            <w:tcW w:w="8939" w:type="dxa"/>
            <w:gridSpan w:val="6"/>
          </w:tcPr>
          <w:p>
            <w:pPr>
              <w:pStyle w:val="DefaultParagraph"/>
              <w:rPr>
                <w:b/>
                <w:sz w:val="18"/>
                <w:szCs w:val="18"/>
              </w:rPr>
            </w:pPr>
            <w:r>
              <w:rPr>
                <w:b/>
                <w:sz w:val="18"/>
                <w:szCs w:val="18"/>
              </w:rPr>
              <w:t>传入神经纤维在未受到刺激时膜内外电位的表现是外正内负</w:t>
            </w:r>
          </w:p>
        </w:tc>
      </w:tr>
      <w:tr>
        <w:tblPrEx>
          <w:tblW w:w="0" w:type="auto"/>
          <w:jc w:val="center"/>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rPr>
          <w:jc w:val="center"/>
        </w:trPr>
        <w:tc>
          <w:tcPr>
            <w:tcW w:w="8" w:type="dxa"/>
          </w:tcPr>
          <w:p>
            <w:pPr>
              <w:pStyle w:val="DefaultParagraph"/>
              <w:rPr>
                <w:b/>
                <w:sz w:val="18"/>
                <w:szCs w:val="18"/>
              </w:rPr>
            </w:pPr>
            <w:r>
              <w:rPr>
                <w:b/>
                <w:sz w:val="18"/>
                <w:szCs w:val="18"/>
              </w:rPr>
              <w:t>　</w:t>
            </w:r>
          </w:p>
        </w:tc>
        <w:tc>
          <w:tcPr>
            <w:tcW w:w="365" w:type="dxa"/>
          </w:tcPr>
          <w:p>
            <w:pPr>
              <w:pStyle w:val="DefaultParagraph"/>
              <w:rPr>
                <w:b/>
                <w:sz w:val="18"/>
                <w:szCs w:val="18"/>
              </w:rPr>
            </w:pPr>
            <w:r>
              <w:rPr>
                <w:b/>
                <w:sz w:val="18"/>
                <w:szCs w:val="18"/>
              </w:rPr>
              <w:t>B．</w:t>
            </w:r>
          </w:p>
        </w:tc>
        <w:tc>
          <w:tcPr>
            <w:tcW w:w="8939" w:type="dxa"/>
            <w:gridSpan w:val="6"/>
          </w:tcPr>
          <w:p>
            <w:pPr>
              <w:pStyle w:val="DefaultParagraph"/>
              <w:rPr>
                <w:b/>
                <w:sz w:val="18"/>
                <w:szCs w:val="18"/>
              </w:rPr>
            </w:pPr>
            <w:r>
              <w:rPr>
                <w:b/>
                <w:sz w:val="18"/>
                <w:szCs w:val="18"/>
              </w:rPr>
              <w:t>不同类型的刺激引起不同类型的感觉，原因是感受器和感觉中枢的不同</w:t>
            </w:r>
          </w:p>
        </w:tc>
      </w:tr>
      <w:tr>
        <w:tblPrEx>
          <w:tblW w:w="0" w:type="auto"/>
          <w:jc w:val="center"/>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rPr>
          <w:jc w:val="center"/>
        </w:trPr>
        <w:tc>
          <w:tcPr>
            <w:tcW w:w="8" w:type="dxa"/>
          </w:tcPr>
          <w:p>
            <w:pPr>
              <w:pStyle w:val="DefaultParagraph"/>
              <w:rPr>
                <w:b/>
                <w:sz w:val="18"/>
                <w:szCs w:val="18"/>
              </w:rPr>
            </w:pPr>
            <w:r>
              <w:rPr>
                <w:b/>
                <w:sz w:val="18"/>
                <w:szCs w:val="18"/>
              </w:rPr>
              <w:t>　</w:t>
            </w:r>
          </w:p>
        </w:tc>
        <w:tc>
          <w:tcPr>
            <w:tcW w:w="365" w:type="dxa"/>
          </w:tcPr>
          <w:p>
            <w:pPr>
              <w:pStyle w:val="DefaultParagraph"/>
              <w:rPr>
                <w:b/>
                <w:sz w:val="18"/>
                <w:szCs w:val="18"/>
              </w:rPr>
            </w:pPr>
            <w:r>
              <w:rPr>
                <w:b/>
                <w:sz w:val="18"/>
                <w:szCs w:val="18"/>
              </w:rPr>
              <w:t>C．</w:t>
            </w:r>
          </w:p>
        </w:tc>
        <w:tc>
          <w:tcPr>
            <w:tcW w:w="8939" w:type="dxa"/>
            <w:gridSpan w:val="6"/>
          </w:tcPr>
          <w:p>
            <w:pPr>
              <w:pStyle w:val="DefaultParagraph"/>
              <w:rPr>
                <w:b/>
                <w:sz w:val="18"/>
                <w:szCs w:val="18"/>
              </w:rPr>
            </w:pPr>
            <w:r>
              <w:rPr>
                <w:b/>
                <w:sz w:val="18"/>
                <w:szCs w:val="18"/>
              </w:rPr>
              <w:t>不同强度的刺激通过改变传入神经上电信号的频率，导致感觉强度的差异</w:t>
            </w:r>
          </w:p>
        </w:tc>
      </w:tr>
      <w:tr>
        <w:tblPrEx>
          <w:tblW w:w="0" w:type="auto"/>
          <w:jc w:val="center"/>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rPr>
          <w:jc w:val="center"/>
        </w:trPr>
        <w:tc>
          <w:tcPr>
            <w:tcW w:w="8" w:type="dxa"/>
          </w:tcPr>
          <w:p>
            <w:pPr>
              <w:pStyle w:val="DefaultParagraph"/>
              <w:rPr>
                <w:b/>
                <w:sz w:val="18"/>
                <w:szCs w:val="18"/>
              </w:rPr>
            </w:pPr>
            <w:r>
              <w:rPr>
                <w:b/>
                <w:sz w:val="18"/>
                <w:szCs w:val="18"/>
              </w:rPr>
              <w:t>　</w:t>
            </w:r>
          </w:p>
        </w:tc>
        <w:tc>
          <w:tcPr>
            <w:tcW w:w="365" w:type="dxa"/>
          </w:tcPr>
          <w:p>
            <w:pPr>
              <w:pStyle w:val="DefaultParagraph"/>
              <w:rPr>
                <w:b/>
                <w:sz w:val="18"/>
                <w:szCs w:val="18"/>
              </w:rPr>
            </w:pPr>
            <w:r>
              <w:rPr>
                <w:b/>
                <w:sz w:val="18"/>
                <w:szCs w:val="18"/>
              </w:rPr>
              <w:t>D．</w:t>
            </w:r>
          </w:p>
        </w:tc>
        <w:tc>
          <w:tcPr>
            <w:tcW w:w="8939" w:type="dxa"/>
            <w:gridSpan w:val="6"/>
          </w:tcPr>
          <w:p>
            <w:pPr>
              <w:pStyle w:val="DefaultParagraph"/>
              <w:rPr>
                <w:b/>
                <w:sz w:val="18"/>
                <w:szCs w:val="18"/>
              </w:rPr>
            </w:pPr>
            <w:r>
              <w:rPr>
                <w:b/>
                <w:sz w:val="18"/>
                <w:szCs w:val="18"/>
              </w:rPr>
              <w:t>从刺激到感觉形成，在完整的信号通路中都以电信号为信息编码形式</w:t>
            </w:r>
          </w:p>
        </w:tc>
      </w:tr>
    </w:tbl>
    <w:p>
      <w:pPr>
        <w:pStyle w:val="DefaultParagraph"/>
        <w:rPr>
          <w:b/>
        </w:rPr>
      </w:pPr>
      <w:r>
        <w:rPr>
          <w:b/>
        </w:rPr>
        <w:t>11．如图能正确反映人体内促甲状腺激素（TSH）与甲状腺激素（TH）含量变化的是（　　）</w:t>
      </w:r>
    </w:p>
    <w:tbl>
      <w:tblPr>
        <w:tblStyle w:val="TableNormal"/>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
      <w:tblGrid>
        <w:gridCol w:w="12"/>
        <w:gridCol w:w="216"/>
        <w:gridCol w:w="1897"/>
        <w:gridCol w:w="216"/>
        <w:gridCol w:w="1897"/>
        <w:gridCol w:w="216"/>
        <w:gridCol w:w="1897"/>
        <w:gridCol w:w="216"/>
        <w:gridCol w:w="1898"/>
      </w:tblGrid>
      <w:tr>
        <w:tblPrEx>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c>
          <w:tcPr>
            <w:tcW w:w="225" w:type="dxa"/>
          </w:tcPr>
          <w:p>
            <w:pPr>
              <w:pStyle w:val="DefaultParagraph"/>
            </w:pPr>
            <w:r>
              <w:t>　</w:t>
            </w:r>
          </w:p>
        </w:tc>
        <w:tc>
          <w:tcPr>
            <w:tcW w:w="330" w:type="dxa"/>
          </w:tcPr>
          <w:p>
            <w:pPr>
              <w:pStyle w:val="DefaultParagraph"/>
            </w:pPr>
            <w:r>
              <w:t>A．</w:t>
            </w:r>
          </w:p>
        </w:tc>
        <w:tc>
          <w:tcPr>
            <w:tcW w:w="1150" w:type="pct"/>
          </w:tcPr>
          <w:p>
            <w:pPr>
              <w:pStyle w:val="DefaultParagraph"/>
            </w:pPr>
            <w:r>
              <w:pict>
                <v:shape id="Picture24" o:spid="_x0000_i1037" type="#_x0000_t75" style="width:67.45pt;height:73.5pt;mso-position-horizontal-relative:page;mso-position-vertical-relative:page;mso-wrap-style:square" filled="f" stroked="f">
                  <v:stroke linestyle="single"/>
                  <v:imagedata r:id="rId16" o:title=""/>
                  <v:path o:extrusionok="f"/>
                  <o:lock v:ext="edit" aspectratio="t"/>
                </v:shape>
              </w:pict>
            </w:r>
          </w:p>
        </w:tc>
        <w:tc>
          <w:tcPr>
            <w:tcW w:w="330" w:type="dxa"/>
          </w:tcPr>
          <w:p>
            <w:pPr>
              <w:pStyle w:val="DefaultParagraph"/>
            </w:pPr>
            <w:r>
              <w:t>B．</w:t>
            </w:r>
          </w:p>
        </w:tc>
        <w:tc>
          <w:tcPr>
            <w:tcW w:w="1150" w:type="pct"/>
          </w:tcPr>
          <w:p>
            <w:pPr>
              <w:pStyle w:val="DefaultParagraph"/>
            </w:pPr>
            <w:r>
              <w:pict>
                <v:shape id="Picture24" o:spid="_x0000_i1038" type="#_x0000_t75" style="width:67.45pt;height:72.7pt;mso-position-horizontal-relative:page;mso-position-vertical-relative:page;mso-wrap-style:square" filled="f" stroked="f">
                  <v:stroke linestyle="single"/>
                  <v:imagedata r:id="rId17" o:title=""/>
                  <v:path o:extrusionok="f"/>
                  <o:lock v:ext="edit" aspectratio="t"/>
                </v:shape>
              </w:pict>
            </w:r>
          </w:p>
        </w:tc>
        <w:tc>
          <w:tcPr>
            <w:tcW w:w="330" w:type="dxa"/>
          </w:tcPr>
          <w:p>
            <w:pPr>
              <w:pStyle w:val="DefaultParagraph"/>
            </w:pPr>
            <w:r>
              <w:t>C．</w:t>
            </w:r>
          </w:p>
        </w:tc>
        <w:tc>
          <w:tcPr>
            <w:tcW w:w="1150" w:type="pct"/>
          </w:tcPr>
          <w:p>
            <w:pPr>
              <w:pStyle w:val="DefaultParagraph"/>
            </w:pPr>
            <w:r>
              <w:pict>
                <v:shape id="Picture24" o:spid="_x0000_i1039" type="#_x0000_t75" style="width:67.45pt;height:71.95pt;mso-position-horizontal-relative:page;mso-position-vertical-relative:page;mso-wrap-style:square" filled="f" stroked="f">
                  <v:stroke linestyle="single"/>
                  <v:imagedata r:id="rId18" o:title=""/>
                  <v:path o:extrusionok="f"/>
                  <o:lock v:ext="edit" aspectratio="t"/>
                </v:shape>
              </w:pict>
            </w:r>
          </w:p>
        </w:tc>
        <w:tc>
          <w:tcPr>
            <w:tcW w:w="330" w:type="dxa"/>
          </w:tcPr>
          <w:p>
            <w:pPr>
              <w:pStyle w:val="DefaultParagraph"/>
            </w:pPr>
            <w:r>
              <w:t>D．</w:t>
            </w:r>
          </w:p>
        </w:tc>
        <w:tc>
          <w:tcPr>
            <w:tcW w:w="1150" w:type="pct"/>
          </w:tcPr>
          <w:p>
            <w:pPr>
              <w:pStyle w:val="DefaultParagraph"/>
            </w:pPr>
            <w:r>
              <w:pict>
                <v:shape id="Picture24" o:spid="_x0000_i1040" type="#_x0000_t75" style="width:67.45pt;height:73.5pt;mso-position-horizontal-relative:page;mso-position-vertical-relative:page;mso-wrap-style:square" filled="f" stroked="f">
                  <v:stroke linestyle="single"/>
                  <v:imagedata r:id="rId19" o:title=""/>
                  <v:path o:extrusionok="f"/>
                  <o:lock v:ext="edit" aspectratio="t"/>
                </v:shape>
              </w:pict>
            </w:r>
          </w:p>
        </w:tc>
      </w:tr>
    </w:tbl>
    <w:p>
      <w:pPr>
        <w:pStyle w:val="DefaultParagraph"/>
        <w:rPr>
          <w:b/>
          <w:szCs w:val="21"/>
        </w:rPr>
      </w:pPr>
      <w:r>
        <w:rPr>
          <w:b/>
          <w:szCs w:val="21"/>
        </w:rPr>
        <w:t>12．将定量的放射性同位素标记的胰岛素、定量的抗胰岛素抗体与待检测的血液混合，待检测血液中的胰岛素就会与带标记胰岛素竞争，与抗胰岛素抗体结合；再将形成的“抗原﹣抗体”复合物分离出来，检测其放射性强度．下列相关叙述不正确的是（　　）</w:t>
      </w:r>
    </w:p>
    <w:tbl>
      <w:tblPr>
        <w:tblStyle w:val="TableNormal"/>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
      <w:tblGrid>
        <w:gridCol w:w="12"/>
        <w:gridCol w:w="217"/>
        <w:gridCol w:w="8236"/>
      </w:tblGrid>
      <w:tr>
        <w:tblPrEx>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A．</w:t>
            </w:r>
          </w:p>
        </w:tc>
        <w:tc>
          <w:tcPr>
            <w:tcW w:w="4900" w:type="pct"/>
          </w:tcPr>
          <w:p>
            <w:pPr>
              <w:pStyle w:val="DefaultParagraph"/>
              <w:rPr>
                <w:b/>
                <w:szCs w:val="21"/>
              </w:rPr>
            </w:pPr>
            <w:r>
              <w:rPr>
                <w:b/>
                <w:szCs w:val="21"/>
              </w:rPr>
              <w:t>可以用放射性同位素</w:t>
            </w:r>
            <w:r>
              <w:rPr>
                <w:b/>
                <w:szCs w:val="21"/>
                <w:vertAlign w:val="superscript"/>
              </w:rPr>
              <w:t>35</w:t>
            </w:r>
            <w:r>
              <w:rPr>
                <w:b/>
                <w:szCs w:val="21"/>
              </w:rPr>
              <w:t>S来标记胰岛素</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B．</w:t>
            </w:r>
          </w:p>
        </w:tc>
        <w:tc>
          <w:tcPr>
            <w:tcW w:w="4900" w:type="pct"/>
          </w:tcPr>
          <w:p>
            <w:pPr>
              <w:pStyle w:val="DefaultParagraph"/>
              <w:rPr>
                <w:b/>
                <w:szCs w:val="21"/>
              </w:rPr>
            </w:pPr>
            <w:r>
              <w:rPr>
                <w:b/>
                <w:szCs w:val="21"/>
              </w:rPr>
              <w:t>该方法应用的是抗原与抗体特异性结合的原理</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C．</w:t>
            </w:r>
          </w:p>
        </w:tc>
        <w:tc>
          <w:tcPr>
            <w:tcW w:w="4900" w:type="pct"/>
          </w:tcPr>
          <w:p>
            <w:pPr>
              <w:pStyle w:val="DefaultParagraph"/>
              <w:rPr>
                <w:b/>
                <w:szCs w:val="21"/>
              </w:rPr>
            </w:pPr>
            <w:r>
              <w:rPr>
                <w:b/>
                <w:szCs w:val="21"/>
              </w:rPr>
              <w:t>利用该方法可以诊断糖尿病患者病因是否是胰岛素分泌不足</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D．</w:t>
            </w:r>
          </w:p>
        </w:tc>
        <w:tc>
          <w:tcPr>
            <w:tcW w:w="4900" w:type="pct"/>
          </w:tcPr>
          <w:p>
            <w:pPr>
              <w:pStyle w:val="DefaultParagraph"/>
              <w:rPr>
                <w:b/>
                <w:szCs w:val="21"/>
              </w:rPr>
            </w:pPr>
            <w:r>
              <w:rPr>
                <w:b/>
                <w:szCs w:val="21"/>
              </w:rPr>
              <w:t>“抗原﹣抗体”复合物放射性越强，说明待测血液中胰岛素含量越高</w:t>
            </w:r>
          </w:p>
        </w:tc>
      </w:tr>
    </w:tbl>
    <w:p>
      <w:pPr>
        <w:pStyle w:val="DefaultParagraph"/>
        <w:rPr>
          <w:b/>
          <w:szCs w:val="21"/>
        </w:rPr>
      </w:pPr>
      <w:r>
        <w:rPr>
          <w:b/>
          <w:szCs w:val="21"/>
        </w:rPr>
        <w:t>13．如图为甲状腺激素的分泌凋节示意图，其中a、b和c表示人体内三种内分泌腺，①、②和③表示三种不同的激素．下列叙述错误的是（　　）</w:t>
      </w:r>
    </w:p>
    <w:p>
      <w:pPr>
        <w:pStyle w:val="DefaultParagraph"/>
        <w:rPr>
          <w:b/>
          <w:szCs w:val="21"/>
        </w:rPr>
      </w:pPr>
      <w:r>
        <w:rPr>
          <w:b/>
          <w:szCs w:val="21"/>
        </w:rPr>
        <w:pict>
          <v:shape id="Picture24" o:spid="_x0000_i1041" type="#_x0000_t75" style="width:149.1pt;height:42.74pt;mso-position-horizontal-relative:page;mso-position-vertical-relative:page;mso-wrap-style:square" filled="f" stroked="f">
            <v:stroke linestyle="single"/>
            <v:imagedata r:id="rId20" o:title=""/>
            <v:path o:extrusionok="f"/>
            <o:lock v:ext="edit" aspectratio="t"/>
          </v:shape>
        </w:pict>
      </w:r>
    </w:p>
    <w:tbl>
      <w:tblPr>
        <w:tblStyle w:val="TableNormal"/>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
      <w:tblGrid>
        <w:gridCol w:w="12"/>
        <w:gridCol w:w="217"/>
        <w:gridCol w:w="8236"/>
      </w:tblGrid>
      <w:tr>
        <w:tblPrEx>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A．</w:t>
            </w:r>
          </w:p>
        </w:tc>
        <w:tc>
          <w:tcPr>
            <w:tcW w:w="4900" w:type="pct"/>
          </w:tcPr>
          <w:p>
            <w:pPr>
              <w:pStyle w:val="DefaultParagraph"/>
              <w:rPr>
                <w:b/>
                <w:szCs w:val="21"/>
              </w:rPr>
            </w:pPr>
            <w:r>
              <w:rPr>
                <w:b/>
                <w:szCs w:val="21"/>
              </w:rPr>
              <w:t>a表示垂体，b表示甲状腺，c表示下丘脑</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B．</w:t>
            </w:r>
          </w:p>
        </w:tc>
        <w:tc>
          <w:tcPr>
            <w:tcW w:w="4900" w:type="pct"/>
          </w:tcPr>
          <w:p>
            <w:pPr>
              <w:pStyle w:val="DefaultParagraph"/>
              <w:rPr>
                <w:b/>
                <w:szCs w:val="21"/>
              </w:rPr>
            </w:pPr>
            <w:r>
              <w:rPr>
                <w:b/>
                <w:szCs w:val="21"/>
              </w:rPr>
              <w:t>激素③可作用于多种器官</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C．</w:t>
            </w:r>
          </w:p>
        </w:tc>
        <w:tc>
          <w:tcPr>
            <w:tcW w:w="4900" w:type="pct"/>
          </w:tcPr>
          <w:p>
            <w:pPr>
              <w:pStyle w:val="DefaultParagraph"/>
              <w:rPr>
                <w:b/>
                <w:szCs w:val="21"/>
              </w:rPr>
            </w:pPr>
            <w:r>
              <w:rPr>
                <w:b/>
                <w:szCs w:val="21"/>
              </w:rPr>
              <w:t>血液中激素③水平降低会引起激素①分泌减少</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D．</w:t>
            </w:r>
          </w:p>
        </w:tc>
        <w:tc>
          <w:tcPr>
            <w:tcW w:w="4900" w:type="pct"/>
          </w:tcPr>
          <w:p>
            <w:pPr>
              <w:pStyle w:val="DefaultParagraph"/>
              <w:rPr>
                <w:b/>
                <w:szCs w:val="21"/>
              </w:rPr>
            </w:pPr>
            <w:r>
              <w:rPr>
                <w:b/>
                <w:szCs w:val="21"/>
              </w:rPr>
              <w:t>幼年时激素②和③过少会导致成年后身体矮小</w:t>
            </w:r>
          </w:p>
        </w:tc>
      </w:tr>
    </w:tbl>
    <w:p>
      <w:pPr>
        <w:pStyle w:val="DefaultParagraph"/>
        <w:rPr>
          <w:b/>
          <w:szCs w:val="21"/>
        </w:rPr>
      </w:pPr>
      <w:r>
        <w:rPr>
          <w:b/>
          <w:szCs w:val="21"/>
        </w:rPr>
        <w:t>14．如图表示人体生命活动调节的一种方式，相关叙述不正确的是（　　）</w:t>
      </w:r>
    </w:p>
    <w:p>
      <w:pPr>
        <w:pStyle w:val="DefaultParagraph"/>
        <w:rPr>
          <w:b/>
          <w:szCs w:val="21"/>
        </w:rPr>
      </w:pPr>
      <w:r>
        <w:rPr>
          <w:b/>
          <w:szCs w:val="21"/>
        </w:rPr>
        <w:pict>
          <v:shape id="Picture24" o:spid="_x0000_i1042" type="#_x0000_t75" style="width:238.55pt;height:21.74pt;mso-position-horizontal-relative:page;mso-position-vertical-relative:page;mso-wrap-style:square" filled="f" stroked="f">
            <v:stroke linestyle="single"/>
            <v:imagedata r:id="rId21" o:title=""/>
            <v:path o:extrusionok="f"/>
            <o:lock v:ext="edit" aspectratio="t"/>
          </v:shape>
        </w:pict>
      </w:r>
    </w:p>
    <w:tbl>
      <w:tblPr>
        <w:tblStyle w:val="TableNormal"/>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
      <w:tblGrid>
        <w:gridCol w:w="12"/>
        <w:gridCol w:w="217"/>
        <w:gridCol w:w="8236"/>
      </w:tblGrid>
      <w:tr>
        <w:tblPrEx>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A．</w:t>
            </w:r>
          </w:p>
        </w:tc>
        <w:tc>
          <w:tcPr>
            <w:tcW w:w="4900" w:type="pct"/>
          </w:tcPr>
          <w:p>
            <w:pPr>
              <w:pStyle w:val="DefaultParagraph"/>
              <w:rPr>
                <w:b/>
                <w:szCs w:val="21"/>
              </w:rPr>
            </w:pPr>
            <w:r>
              <w:rPr>
                <w:b/>
                <w:szCs w:val="21"/>
              </w:rPr>
              <w:t>若分泌物为促甲状腺激素释放激素，则分泌细胞位于下丘脑中</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B．</w:t>
            </w:r>
          </w:p>
        </w:tc>
        <w:tc>
          <w:tcPr>
            <w:tcW w:w="4900" w:type="pct"/>
          </w:tcPr>
          <w:p>
            <w:pPr>
              <w:pStyle w:val="DefaultParagraph"/>
              <w:rPr>
                <w:b/>
                <w:szCs w:val="21"/>
              </w:rPr>
            </w:pPr>
            <w:r>
              <w:rPr>
                <w:b/>
                <w:szCs w:val="21"/>
              </w:rPr>
              <w:t>若分泌物为促甲状腺激素，则甲状腺为靶器官</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C．</w:t>
            </w:r>
          </w:p>
        </w:tc>
        <w:tc>
          <w:tcPr>
            <w:tcW w:w="4900" w:type="pct"/>
          </w:tcPr>
          <w:p>
            <w:pPr>
              <w:pStyle w:val="DefaultParagraph"/>
              <w:rPr>
                <w:b/>
                <w:szCs w:val="21"/>
              </w:rPr>
            </w:pPr>
            <w:r>
              <w:rPr>
                <w:b/>
                <w:szCs w:val="21"/>
              </w:rPr>
              <w:t>若分泌物为甲状腺激素，则可直接反馈调节的靶器官是垂体和甲状腺</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D．</w:t>
            </w:r>
          </w:p>
        </w:tc>
        <w:tc>
          <w:tcPr>
            <w:tcW w:w="4900" w:type="pct"/>
          </w:tcPr>
          <w:p>
            <w:pPr>
              <w:pStyle w:val="DefaultParagraph"/>
              <w:rPr>
                <w:b/>
                <w:szCs w:val="21"/>
              </w:rPr>
            </w:pPr>
            <w:r>
              <w:rPr>
                <w:b/>
                <w:szCs w:val="21"/>
              </w:rPr>
              <w:t>若分泌物为甲状腺激素，则可反馈调节下丘脑细胞的分泌</w:t>
            </w:r>
          </w:p>
        </w:tc>
      </w:tr>
    </w:tbl>
    <w:p>
      <w:pPr>
        <w:pStyle w:val="DefaultParagraph"/>
        <w:rPr>
          <w:b/>
          <w:szCs w:val="21"/>
        </w:rPr>
      </w:pPr>
      <w:r>
        <w:rPr>
          <w:b/>
          <w:szCs w:val="21"/>
        </w:rPr>
        <w:t>15．为验证甲状腺激素具有促进个体发育的功能，某实验小组的同学将一正常幼年家兔的甲状腺摘除并缝合后进行观察．则与该组对照的一组应设为（　　）</w:t>
      </w:r>
    </w:p>
    <w:tbl>
      <w:tblPr>
        <w:tblStyle w:val="TableNormal"/>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
      <w:tblGrid>
        <w:gridCol w:w="12"/>
        <w:gridCol w:w="217"/>
        <w:gridCol w:w="8236"/>
      </w:tblGrid>
      <w:tr>
        <w:tblPrEx>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A．</w:t>
            </w:r>
          </w:p>
        </w:tc>
        <w:tc>
          <w:tcPr>
            <w:tcW w:w="4900" w:type="pct"/>
          </w:tcPr>
          <w:p>
            <w:pPr>
              <w:pStyle w:val="DefaultParagraph"/>
              <w:rPr>
                <w:b/>
                <w:szCs w:val="21"/>
              </w:rPr>
            </w:pPr>
            <w:r>
              <w:rPr>
                <w:b/>
                <w:szCs w:val="21"/>
              </w:rPr>
              <w:t>用一成年的家兔做相同的实验</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B．</w:t>
            </w:r>
          </w:p>
        </w:tc>
        <w:tc>
          <w:tcPr>
            <w:tcW w:w="4900" w:type="pct"/>
          </w:tcPr>
          <w:p>
            <w:pPr>
              <w:pStyle w:val="DefaultParagraph"/>
              <w:rPr>
                <w:b/>
                <w:szCs w:val="21"/>
              </w:rPr>
            </w:pPr>
            <w:r>
              <w:rPr>
                <w:b/>
                <w:szCs w:val="21"/>
              </w:rPr>
              <w:t>用一相似的幼年家兔在相同的环境中观察</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C．</w:t>
            </w:r>
          </w:p>
        </w:tc>
        <w:tc>
          <w:tcPr>
            <w:tcW w:w="4900" w:type="pct"/>
          </w:tcPr>
          <w:p>
            <w:pPr>
              <w:pStyle w:val="DefaultParagraph"/>
              <w:rPr>
                <w:b/>
                <w:szCs w:val="21"/>
              </w:rPr>
            </w:pPr>
            <w:r>
              <w:rPr>
                <w:b/>
                <w:szCs w:val="21"/>
              </w:rPr>
              <w:t>用一相似的幼年家兔在颈部切开伤口后缝合，在相同的环境中观察</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D．</w:t>
            </w:r>
          </w:p>
        </w:tc>
        <w:tc>
          <w:tcPr>
            <w:tcW w:w="4900" w:type="pct"/>
          </w:tcPr>
          <w:p>
            <w:pPr>
              <w:pStyle w:val="DefaultParagraph"/>
              <w:rPr>
                <w:b/>
                <w:szCs w:val="21"/>
              </w:rPr>
            </w:pPr>
            <w:r>
              <w:rPr>
                <w:b/>
                <w:szCs w:val="21"/>
              </w:rPr>
              <w:t>用另一相似的幼年家兔做相同实验，外源补充甲状腺激素并在相同的环境中观察</w:t>
            </w:r>
          </w:p>
        </w:tc>
      </w:tr>
    </w:tbl>
    <w:p>
      <w:pPr>
        <w:pStyle w:val="DefaultParagraph"/>
        <w:rPr>
          <w:b/>
          <w:szCs w:val="21"/>
        </w:rPr>
      </w:pPr>
      <w:r>
        <w:rPr>
          <w:b/>
          <w:szCs w:val="21"/>
        </w:rPr>
        <w:t>16．下面是与促胰液素发现过程有关的四个实验，有关分析不正确的是（　　）</w:t>
      </w:r>
    </w:p>
    <w:p>
      <w:pPr>
        <w:pStyle w:val="DefaultParagraph"/>
        <w:rPr>
          <w:b/>
          <w:szCs w:val="21"/>
        </w:rPr>
      </w:pPr>
      <w:r>
        <w:rPr>
          <w:b/>
          <w:szCs w:val="21"/>
        </w:rPr>
        <w:t>①稀盐酸→小肠肠腔→胰腺分泌胰液</w:t>
      </w:r>
    </w:p>
    <w:p>
      <w:pPr>
        <w:pStyle w:val="DefaultParagraph"/>
        <w:rPr>
          <w:b/>
          <w:szCs w:val="21"/>
        </w:rPr>
      </w:pPr>
      <w:r>
        <w:rPr>
          <w:b/>
          <w:szCs w:val="21"/>
        </w:rPr>
        <w:t>②稀盐酸→静脉血液→胰液不分泌</w:t>
      </w:r>
    </w:p>
    <w:p>
      <w:pPr>
        <w:pStyle w:val="DefaultParagraph"/>
        <w:rPr>
          <w:b/>
          <w:szCs w:val="21"/>
        </w:rPr>
      </w:pPr>
      <w:r>
        <w:rPr>
          <w:b/>
          <w:szCs w:val="21"/>
        </w:rPr>
        <w:t>③稀盐酸→小肠肠腔（去除神经）→胰腺分泌胰液</w:t>
      </w:r>
    </w:p>
    <w:p>
      <w:pPr>
        <w:pStyle w:val="DefaultParagraph"/>
        <w:rPr>
          <w:b/>
          <w:szCs w:val="21"/>
        </w:rPr>
      </w:pPr>
      <w:r>
        <w:rPr>
          <w:b/>
          <w:szCs w:val="21"/>
        </w:rPr>
        <w:t>④小肠黏膜+稀盐酸+沙子</w:t>
      </w:r>
      <w:r>
        <w:rPr>
          <w:b/>
          <w:position w:val="-1"/>
          <w:szCs w:val="21"/>
        </w:rPr>
        <w:pict>
          <v:shape id="图片 15" o:spid="_x0000_i1043" type="#_x0000_t75" style="width:20.99pt;height:14.24pt;mso-position-horizontal-relative:page;mso-position-vertical-relative:page;mso-wrap-style:square" filled="f" stroked="f">
            <v:stroke linestyle="single"/>
            <v:imagedata r:id="rId22" o:title="菁优网-jyeoo"/>
            <v:path o:extrusionok="f"/>
            <o:lock v:ext="edit" aspectratio="t"/>
          </v:shape>
        </w:pict>
      </w:r>
      <w:r>
        <w:rPr>
          <w:b/>
          <w:szCs w:val="21"/>
        </w:rPr>
        <w:t>制成提取液</w:t>
      </w:r>
      <w:r>
        <w:rPr>
          <w:b/>
          <w:position w:val="-1"/>
          <w:szCs w:val="21"/>
        </w:rPr>
        <w:pict>
          <v:shape id="图片 16" o:spid="_x0000_i1044" type="#_x0000_t75" style="width:20.99pt;height:14.24pt;mso-position-horizontal-relative:page;mso-position-vertical-relative:page;mso-wrap-style:square" filled="f" stroked="f">
            <v:stroke linestyle="single"/>
            <v:imagedata r:id="rId23" o:title="菁优网-jyeoo"/>
            <v:path o:extrusionok="f"/>
            <o:lock v:ext="edit" aspectratio="t"/>
          </v:shape>
        </w:pict>
      </w:r>
      <w:r>
        <w:rPr>
          <w:b/>
          <w:szCs w:val="21"/>
        </w:rPr>
        <w:t>静脉血液→胰腺分泌胰液．</w:t>
      </w:r>
    </w:p>
    <w:tbl>
      <w:tblPr>
        <w:tblStyle w:val="TableNormal"/>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
      <w:tblGrid>
        <w:gridCol w:w="12"/>
        <w:gridCol w:w="217"/>
        <w:gridCol w:w="8236"/>
      </w:tblGrid>
      <w:tr>
        <w:tblPrEx>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A．</w:t>
            </w:r>
          </w:p>
        </w:tc>
        <w:tc>
          <w:tcPr>
            <w:tcW w:w="4900" w:type="pct"/>
          </w:tcPr>
          <w:p>
            <w:pPr>
              <w:pStyle w:val="DefaultParagraph"/>
              <w:rPr>
                <w:b/>
                <w:szCs w:val="21"/>
              </w:rPr>
            </w:pPr>
            <w:r>
              <w:rPr>
                <w:b/>
                <w:szCs w:val="21"/>
              </w:rPr>
              <w:t>①与②组成的实验自变量是稀盐酸刺激的部位</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B．</w:t>
            </w:r>
          </w:p>
        </w:tc>
        <w:tc>
          <w:tcPr>
            <w:tcW w:w="4900" w:type="pct"/>
          </w:tcPr>
          <w:p>
            <w:pPr>
              <w:pStyle w:val="DefaultParagraph"/>
              <w:rPr>
                <w:b/>
                <w:szCs w:val="21"/>
              </w:rPr>
            </w:pPr>
            <w:r>
              <w:rPr>
                <w:b/>
                <w:szCs w:val="21"/>
              </w:rPr>
              <w:t>①与③对比说明胰液分泌不受神经的调节</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C．</w:t>
            </w:r>
          </w:p>
        </w:tc>
        <w:tc>
          <w:tcPr>
            <w:tcW w:w="4900" w:type="pct"/>
          </w:tcPr>
          <w:p>
            <w:pPr>
              <w:pStyle w:val="DefaultParagraph"/>
              <w:rPr>
                <w:b/>
                <w:szCs w:val="21"/>
              </w:rPr>
            </w:pPr>
            <w:r>
              <w:rPr>
                <w:b/>
                <w:szCs w:val="21"/>
              </w:rPr>
              <w:t>①②③④组成的实验说明胰液分泌受小肠黏膜产生的物质经血液运输来调节</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D．</w:t>
            </w:r>
          </w:p>
        </w:tc>
        <w:tc>
          <w:tcPr>
            <w:tcW w:w="4900" w:type="pct"/>
          </w:tcPr>
          <w:p>
            <w:pPr>
              <w:pStyle w:val="DefaultParagraph"/>
              <w:rPr>
                <w:b/>
                <w:szCs w:val="21"/>
              </w:rPr>
            </w:pPr>
            <w:r>
              <w:rPr>
                <w:b/>
                <w:szCs w:val="21"/>
              </w:rPr>
              <w:t>要证明胰液分泌受不受神经的调节应该再设计实验继续探究</w:t>
            </w:r>
          </w:p>
        </w:tc>
      </w:tr>
    </w:tbl>
    <w:p>
      <w:pPr>
        <w:pStyle w:val="DefaultParagraph"/>
        <w:rPr>
          <w:b/>
          <w:szCs w:val="21"/>
        </w:rPr>
      </w:pPr>
      <w:r>
        <w:rPr>
          <w:b/>
          <w:szCs w:val="21"/>
        </w:rPr>
        <w:t>17．下列有关物质在生物体内运输的说法中正确的是（　　）</w:t>
      </w:r>
    </w:p>
    <w:tbl>
      <w:tblPr>
        <w:tblStyle w:val="TableNormal"/>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
      <w:tblGrid>
        <w:gridCol w:w="12"/>
        <w:gridCol w:w="217"/>
        <w:gridCol w:w="8236"/>
      </w:tblGrid>
      <w:tr>
        <w:tblPrEx>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A．</w:t>
            </w:r>
          </w:p>
        </w:tc>
        <w:tc>
          <w:tcPr>
            <w:tcW w:w="4900" w:type="pct"/>
          </w:tcPr>
          <w:p>
            <w:pPr>
              <w:pStyle w:val="DefaultParagraph"/>
              <w:rPr>
                <w:b/>
                <w:szCs w:val="21"/>
              </w:rPr>
            </w:pPr>
            <w:r>
              <w:rPr>
                <w:b/>
                <w:szCs w:val="21"/>
              </w:rPr>
              <w:t>动物内不存在O</w:t>
            </w:r>
            <w:r>
              <w:rPr>
                <w:b/>
                <w:szCs w:val="21"/>
                <w:vertAlign w:val="subscript"/>
              </w:rPr>
              <w:t>2</w:t>
            </w:r>
            <w:r>
              <w:rPr>
                <w:b/>
                <w:szCs w:val="21"/>
              </w:rPr>
              <w:t>从细胞扩散到内环境的过程</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B．</w:t>
            </w:r>
          </w:p>
        </w:tc>
        <w:tc>
          <w:tcPr>
            <w:tcW w:w="4900" w:type="pct"/>
          </w:tcPr>
          <w:p>
            <w:pPr>
              <w:pStyle w:val="DefaultParagraph"/>
              <w:rPr>
                <w:b/>
                <w:szCs w:val="21"/>
              </w:rPr>
            </w:pPr>
            <w:r>
              <w:rPr>
                <w:b/>
                <w:szCs w:val="21"/>
              </w:rPr>
              <w:t>人体内存在两种内分泌腺互为靶器官的情况</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C．</w:t>
            </w:r>
          </w:p>
        </w:tc>
        <w:tc>
          <w:tcPr>
            <w:tcW w:w="4900" w:type="pct"/>
          </w:tcPr>
          <w:p>
            <w:pPr>
              <w:pStyle w:val="DefaultParagraph"/>
              <w:rPr>
                <w:b/>
                <w:szCs w:val="21"/>
              </w:rPr>
            </w:pPr>
            <w:r>
              <w:rPr>
                <w:b/>
                <w:szCs w:val="21"/>
              </w:rPr>
              <w:t>动物体细胞只能吸收葡萄糖，不能释放葡萄糖</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D．</w:t>
            </w:r>
          </w:p>
        </w:tc>
        <w:tc>
          <w:tcPr>
            <w:tcW w:w="4900" w:type="pct"/>
          </w:tcPr>
          <w:p>
            <w:pPr>
              <w:pStyle w:val="DefaultParagraph"/>
              <w:rPr>
                <w:b/>
                <w:szCs w:val="21"/>
              </w:rPr>
            </w:pPr>
            <w:r>
              <w:rPr>
                <w:b/>
                <w:szCs w:val="21"/>
              </w:rPr>
              <w:t>生长素只能从高浓度一端向低浓度一端运输</w:t>
            </w:r>
          </w:p>
        </w:tc>
      </w:tr>
    </w:tbl>
    <w:p>
      <w:pPr>
        <w:pStyle w:val="DefaultParagraph"/>
        <w:rPr>
          <w:b/>
          <w:szCs w:val="21"/>
        </w:rPr>
      </w:pPr>
      <w:r>
        <w:rPr>
          <w:b/>
          <w:szCs w:val="21"/>
        </w:rPr>
        <w:t>18．图中细胞A、B、C所示为组成人体某种器官的细胞所处生活环境及其有关生理活动，以下表述正确的是（　　）</w:t>
      </w:r>
    </w:p>
    <w:p>
      <w:pPr>
        <w:pStyle w:val="DefaultParagraph"/>
        <w:rPr>
          <w:b/>
          <w:szCs w:val="21"/>
        </w:rPr>
      </w:pPr>
      <w:r>
        <w:rPr>
          <w:b/>
          <w:szCs w:val="21"/>
        </w:rPr>
        <w:pict>
          <v:shape id="Picture24" o:spid="_x0000_i1045" type="#_x0000_t75" style="width:150.75pt;height:101.15pt;mso-position-horizontal-relative:page;mso-position-vertical-relative:page;mso-wrap-style:square" filled="f" stroked="f">
            <v:stroke linestyle="single"/>
            <v:imagedata r:id="rId24" o:title=""/>
            <v:path o:extrusionok="f"/>
            <o:lock v:ext="edit" aspectratio="t"/>
          </v:shape>
        </w:pict>
      </w:r>
    </w:p>
    <w:tbl>
      <w:tblPr>
        <w:tblStyle w:val="TableNormal"/>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
      <w:tblGrid>
        <w:gridCol w:w="12"/>
        <w:gridCol w:w="217"/>
        <w:gridCol w:w="8236"/>
      </w:tblGrid>
      <w:tr>
        <w:tblPrEx>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A．</w:t>
            </w:r>
          </w:p>
        </w:tc>
        <w:tc>
          <w:tcPr>
            <w:tcW w:w="4900" w:type="pct"/>
          </w:tcPr>
          <w:p>
            <w:pPr>
              <w:pStyle w:val="DefaultParagraph"/>
              <w:rPr>
                <w:b/>
                <w:szCs w:val="21"/>
              </w:rPr>
            </w:pPr>
            <w:r>
              <w:rPr>
                <w:b/>
                <w:szCs w:val="21"/>
              </w:rPr>
              <w:t>在细胞A中的多糖是肌糖原，促进图中①过程的激素主要是胰高血糖素</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B．</w:t>
            </w:r>
          </w:p>
        </w:tc>
        <w:tc>
          <w:tcPr>
            <w:tcW w:w="4900" w:type="pct"/>
          </w:tcPr>
          <w:p>
            <w:pPr>
              <w:pStyle w:val="DefaultParagraph"/>
              <w:rPr>
                <w:b/>
                <w:szCs w:val="21"/>
              </w:rPr>
            </w:pPr>
            <w:r>
              <w:rPr>
                <w:b/>
                <w:szCs w:val="21"/>
              </w:rPr>
              <w:t>细胞C中，⑨过程合成的甘油三酯在低密度脂蛋白的携带下运送到血液中，成为血脂</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C．</w:t>
            </w:r>
          </w:p>
        </w:tc>
        <w:tc>
          <w:tcPr>
            <w:tcW w:w="4900" w:type="pct"/>
          </w:tcPr>
          <w:p>
            <w:pPr>
              <w:pStyle w:val="DefaultParagraph"/>
              <w:rPr>
                <w:b/>
                <w:szCs w:val="21"/>
              </w:rPr>
            </w:pPr>
            <w:r>
              <w:rPr>
                <w:b/>
                <w:szCs w:val="21"/>
              </w:rPr>
              <w:t>细胞B中所示的生命活动⑧主要在线粒体中实现</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D．</w:t>
            </w:r>
          </w:p>
        </w:tc>
        <w:tc>
          <w:tcPr>
            <w:tcW w:w="4900" w:type="pct"/>
          </w:tcPr>
          <w:p>
            <w:pPr>
              <w:pStyle w:val="DefaultParagraph"/>
              <w:rPr>
                <w:b/>
                <w:szCs w:val="21"/>
              </w:rPr>
            </w:pPr>
            <w:r>
              <w:rPr>
                <w:b/>
                <w:szCs w:val="21"/>
              </w:rPr>
              <w:t>细胞B中所示生理活动过程3产生的是人体的必需氨基酸</w:t>
            </w:r>
          </w:p>
        </w:tc>
      </w:tr>
    </w:tbl>
    <w:p>
      <w:pPr>
        <w:pStyle w:val="DefaultParagraph"/>
        <w:rPr>
          <w:b/>
          <w:szCs w:val="21"/>
        </w:rPr>
      </w:pPr>
      <w:r>
        <w:rPr>
          <w:b/>
          <w:szCs w:val="21"/>
        </w:rPr>
        <w:t>19．如图为糖尿病人血糖调节的部分过程，血液中存在异常抗体1或抗体2．下列有关说法不正确的是（　　）</w:t>
      </w:r>
    </w:p>
    <w:p>
      <w:pPr>
        <w:pStyle w:val="DefaultParagraph"/>
        <w:rPr>
          <w:b/>
          <w:szCs w:val="21"/>
        </w:rPr>
      </w:pPr>
      <w:r>
        <w:rPr>
          <w:b/>
          <w:szCs w:val="21"/>
        </w:rPr>
        <w:pict>
          <v:shape id="Picture24" o:spid="_x0000_i1046" type="#_x0000_t75" style="width:258.05pt;height:91.5pt;mso-position-horizontal-relative:page;mso-position-vertical-relative:page;mso-wrap-style:square" filled="f" stroked="f">
            <v:stroke linestyle="single"/>
            <v:imagedata r:id="rId25" o:title=""/>
            <v:path o:extrusionok="f"/>
            <o:lock v:ext="edit" aspectratio="t"/>
          </v:shape>
        </w:pict>
      </w:r>
    </w:p>
    <w:tbl>
      <w:tblPr>
        <w:tblStyle w:val="TableNormal"/>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
      <w:tblGrid>
        <w:gridCol w:w="12"/>
        <w:gridCol w:w="217"/>
        <w:gridCol w:w="8236"/>
      </w:tblGrid>
      <w:tr>
        <w:tblPrEx>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A．</w:t>
            </w:r>
          </w:p>
        </w:tc>
        <w:tc>
          <w:tcPr>
            <w:tcW w:w="4900" w:type="pct"/>
          </w:tcPr>
          <w:p>
            <w:pPr>
              <w:pStyle w:val="DefaultParagraph"/>
              <w:rPr>
                <w:b/>
                <w:szCs w:val="21"/>
              </w:rPr>
            </w:pPr>
            <w:r>
              <w:rPr>
                <w:b/>
                <w:szCs w:val="21"/>
              </w:rPr>
              <w:t>若某患者体内有抗体2，则抗体2和胰岛素都属于该患者内环境的成分</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B．</w:t>
            </w:r>
          </w:p>
        </w:tc>
        <w:tc>
          <w:tcPr>
            <w:tcW w:w="4900" w:type="pct"/>
          </w:tcPr>
          <w:p>
            <w:pPr>
              <w:pStyle w:val="DefaultParagraph"/>
              <w:rPr>
                <w:b/>
                <w:szCs w:val="21"/>
              </w:rPr>
            </w:pPr>
            <w:r>
              <w:rPr>
                <w:b/>
                <w:szCs w:val="21"/>
              </w:rPr>
              <w:t>若某糖尿病患者血液中胰岛素含量正常，则其患病最可能类似于图中抗体2所致．从免疫学的角度分析，属于自身免疫病</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C．</w:t>
            </w:r>
          </w:p>
        </w:tc>
        <w:tc>
          <w:tcPr>
            <w:tcW w:w="4900" w:type="pct"/>
          </w:tcPr>
          <w:p>
            <w:pPr>
              <w:pStyle w:val="DefaultParagraph"/>
              <w:rPr>
                <w:b/>
                <w:szCs w:val="21"/>
              </w:rPr>
            </w:pPr>
            <w:r>
              <w:rPr>
                <w:b/>
                <w:szCs w:val="21"/>
              </w:rPr>
              <w:t>图中的神经递质是以胞吐的方式从突触前膜释放到突触间隙，作用于胰岛B细胞</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D．</w:t>
            </w:r>
          </w:p>
        </w:tc>
        <w:tc>
          <w:tcPr>
            <w:tcW w:w="4900" w:type="pct"/>
          </w:tcPr>
          <w:p>
            <w:pPr>
              <w:pStyle w:val="DefaultParagraph"/>
              <w:rPr>
                <w:b/>
                <w:szCs w:val="21"/>
              </w:rPr>
            </w:pPr>
            <w:r>
              <w:rPr>
                <w:b/>
                <w:szCs w:val="21"/>
              </w:rPr>
              <w:t>抗体是浆细胞合成分泌的，浆细胞能特异性识别抗原并增殖分化成记忆细胞</w:t>
            </w:r>
          </w:p>
        </w:tc>
      </w:tr>
    </w:tbl>
    <w:p>
      <w:pPr>
        <w:pStyle w:val="DefaultParagraph"/>
        <w:rPr>
          <w:b/>
          <w:szCs w:val="21"/>
        </w:rPr>
      </w:pPr>
      <w:r>
        <w:rPr>
          <w:b/>
          <w:szCs w:val="21"/>
        </w:rPr>
        <w:t>20．下列有关细胞结构和功能的叙述不正确的是（　　）</w:t>
      </w:r>
    </w:p>
    <w:tbl>
      <w:tblPr>
        <w:tblStyle w:val="TableNormal"/>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
      <w:tblGrid>
        <w:gridCol w:w="12"/>
        <w:gridCol w:w="217"/>
        <w:gridCol w:w="8236"/>
      </w:tblGrid>
      <w:tr>
        <w:tblPrEx>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A．</w:t>
            </w:r>
          </w:p>
        </w:tc>
        <w:tc>
          <w:tcPr>
            <w:tcW w:w="4900" w:type="pct"/>
          </w:tcPr>
          <w:p>
            <w:pPr>
              <w:pStyle w:val="DefaultParagraph"/>
              <w:rPr>
                <w:b/>
                <w:szCs w:val="21"/>
              </w:rPr>
            </w:pPr>
            <w:r>
              <w:rPr>
                <w:b/>
                <w:szCs w:val="21"/>
              </w:rPr>
              <w:t>能将无机物转化成有机物的生物细胞一定含有核糖体</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B．</w:t>
            </w:r>
          </w:p>
        </w:tc>
        <w:tc>
          <w:tcPr>
            <w:tcW w:w="4900" w:type="pct"/>
          </w:tcPr>
          <w:p>
            <w:pPr>
              <w:pStyle w:val="DefaultParagraph"/>
              <w:rPr>
                <w:b/>
                <w:szCs w:val="21"/>
              </w:rPr>
            </w:pPr>
            <w:r>
              <w:rPr>
                <w:b/>
                <w:szCs w:val="21"/>
              </w:rPr>
              <w:t>神经细胞轴突末梢形成的突起释放神经递质</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C．</w:t>
            </w:r>
          </w:p>
        </w:tc>
        <w:tc>
          <w:tcPr>
            <w:tcW w:w="4900" w:type="pct"/>
          </w:tcPr>
          <w:p>
            <w:pPr>
              <w:pStyle w:val="DefaultParagraph"/>
              <w:rPr>
                <w:b/>
                <w:szCs w:val="21"/>
              </w:rPr>
            </w:pPr>
            <w:r>
              <w:rPr>
                <w:b/>
                <w:szCs w:val="21"/>
              </w:rPr>
              <w:t>细胞间进行信息交流时可依赖于细胞膜上的特异性受体</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D．</w:t>
            </w:r>
          </w:p>
        </w:tc>
        <w:tc>
          <w:tcPr>
            <w:tcW w:w="4900" w:type="pct"/>
          </w:tcPr>
          <w:p>
            <w:pPr>
              <w:pStyle w:val="DefaultParagraph"/>
              <w:rPr>
                <w:b/>
                <w:szCs w:val="21"/>
              </w:rPr>
            </w:pPr>
            <w:r>
              <w:rPr>
                <w:b/>
                <w:szCs w:val="21"/>
              </w:rPr>
              <w:t>效应T细胞与癌变细胞密切接触可导致癌变细胞坏死并裂解</w:t>
            </w:r>
          </w:p>
        </w:tc>
      </w:tr>
    </w:tbl>
    <w:p>
      <w:pPr>
        <w:pStyle w:val="DefaultParagraph"/>
        <w:rPr>
          <w:b/>
          <w:szCs w:val="21"/>
        </w:rPr>
      </w:pPr>
      <w:r>
        <w:rPr>
          <w:b/>
          <w:szCs w:val="21"/>
        </w:rPr>
        <w:t>21．下列有关特异性免疫的叙述，正确的是（　　）</w:t>
      </w:r>
    </w:p>
    <w:tbl>
      <w:tblPr>
        <w:tblStyle w:val="TableNormal"/>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
      <w:tblGrid>
        <w:gridCol w:w="12"/>
        <w:gridCol w:w="217"/>
        <w:gridCol w:w="8236"/>
      </w:tblGrid>
      <w:tr>
        <w:tblPrEx>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A．</w:t>
            </w:r>
          </w:p>
        </w:tc>
        <w:tc>
          <w:tcPr>
            <w:tcW w:w="4900" w:type="pct"/>
          </w:tcPr>
          <w:p>
            <w:pPr>
              <w:pStyle w:val="DefaultParagraph"/>
              <w:rPr>
                <w:b/>
                <w:szCs w:val="21"/>
              </w:rPr>
            </w:pPr>
            <w:r>
              <w:rPr>
                <w:b/>
                <w:szCs w:val="21"/>
              </w:rPr>
              <w:t>类风湿性关节炎等自身免疫病不属于特异性免疫</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B．</w:t>
            </w:r>
          </w:p>
        </w:tc>
        <w:tc>
          <w:tcPr>
            <w:tcW w:w="4900" w:type="pct"/>
          </w:tcPr>
          <w:p>
            <w:pPr>
              <w:pStyle w:val="DefaultParagraph"/>
              <w:rPr>
                <w:b/>
                <w:szCs w:val="21"/>
              </w:rPr>
            </w:pPr>
            <w:r>
              <w:rPr>
                <w:b/>
                <w:szCs w:val="21"/>
              </w:rPr>
              <w:t>在抗原和淋巴因子的共同作用下，B淋巴细胞可以直接分化为浆细胞</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C．</w:t>
            </w:r>
          </w:p>
        </w:tc>
        <w:tc>
          <w:tcPr>
            <w:tcW w:w="4900" w:type="pct"/>
          </w:tcPr>
          <w:p>
            <w:pPr>
              <w:pStyle w:val="DefaultParagraph"/>
              <w:rPr>
                <w:b/>
                <w:szCs w:val="21"/>
              </w:rPr>
            </w:pPr>
            <w:r>
              <w:rPr>
                <w:b/>
                <w:szCs w:val="21"/>
              </w:rPr>
              <w:t>在体液免疫过程中，每个浆细胞只能分泌一种特异性抗体</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D．</w:t>
            </w:r>
          </w:p>
        </w:tc>
        <w:tc>
          <w:tcPr>
            <w:tcW w:w="4900" w:type="pct"/>
          </w:tcPr>
          <w:p>
            <w:pPr>
              <w:pStyle w:val="DefaultParagraph"/>
              <w:rPr>
                <w:b/>
                <w:szCs w:val="21"/>
              </w:rPr>
            </w:pPr>
            <w:r>
              <w:rPr>
                <w:b/>
                <w:szCs w:val="21"/>
              </w:rPr>
              <w:t>甲型H1N1流感病毒侵入机体细胞后进行的特异性免疫是细胞免疫，所以机体不需要合成其相应的抗体</w:t>
            </w:r>
          </w:p>
        </w:tc>
      </w:tr>
    </w:tbl>
    <w:p>
      <w:pPr>
        <w:pStyle w:val="DefaultParagraph"/>
        <w:rPr>
          <w:b/>
          <w:szCs w:val="21"/>
        </w:rPr>
      </w:pPr>
      <w:r>
        <w:rPr>
          <w:b/>
          <w:szCs w:val="21"/>
        </w:rPr>
        <w:t>22． 2014年西非地区爆发了埃博拉疫情．埃博拉病毒（EBV）是一种RNA病毒，侵入人体后发生免疫反应，下列叙述正确的是（　　）</w:t>
      </w:r>
    </w:p>
    <w:tbl>
      <w:tblPr>
        <w:tblStyle w:val="TableNormal"/>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
      <w:tblGrid>
        <w:gridCol w:w="12"/>
        <w:gridCol w:w="350"/>
        <w:gridCol w:w="8103"/>
      </w:tblGrid>
      <w:tr>
        <w:tblPrEx>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c>
          <w:tcPr>
            <w:tcW w:w="8" w:type="dxa"/>
          </w:tcPr>
          <w:p>
            <w:pPr>
              <w:pStyle w:val="DefaultParagraph"/>
              <w:rPr>
                <w:b/>
                <w:szCs w:val="21"/>
              </w:rPr>
            </w:pPr>
            <w:r>
              <w:rPr>
                <w:b/>
                <w:szCs w:val="21"/>
              </w:rPr>
              <w:t>　</w:t>
            </w:r>
          </w:p>
        </w:tc>
        <w:tc>
          <w:tcPr>
            <w:tcW w:w="365" w:type="dxa"/>
          </w:tcPr>
          <w:p>
            <w:pPr>
              <w:pStyle w:val="DefaultParagraph"/>
              <w:rPr>
                <w:b/>
                <w:szCs w:val="21"/>
              </w:rPr>
            </w:pPr>
            <w:r>
              <w:rPr>
                <w:b/>
                <w:szCs w:val="21"/>
              </w:rPr>
              <w:t>A．</w:t>
            </w:r>
          </w:p>
        </w:tc>
        <w:tc>
          <w:tcPr>
            <w:tcW w:w="8939" w:type="dxa"/>
          </w:tcPr>
          <w:p>
            <w:pPr>
              <w:pStyle w:val="DefaultParagraph"/>
              <w:rPr>
                <w:b/>
                <w:szCs w:val="21"/>
              </w:rPr>
            </w:pPr>
            <w:r>
              <w:rPr>
                <w:b/>
                <w:szCs w:val="21"/>
              </w:rPr>
              <w:t>EBV被吞噬细胞特异性识别，产生特异性免疫反应</w:t>
            </w:r>
          </w:p>
        </w:tc>
      </w:tr>
      <w:tr>
        <w:tblPrEx>
          <w:tblW w:w="5000" w:type="pct"/>
          <w:tblInd w:w="-1" w:type="dxa"/>
          <w:tblCellMar>
            <w:top w:w="0" w:type="dxa"/>
            <w:left w:w="0" w:type="dxa"/>
            <w:bottom w:w="0" w:type="dxa"/>
            <w:right w:w="0" w:type="dxa"/>
          </w:tblCellMar>
          <w:tblLook w:val="0000"/>
        </w:tblPrEx>
        <w:tc>
          <w:tcPr>
            <w:tcW w:w="8" w:type="dxa"/>
          </w:tcPr>
          <w:p>
            <w:pPr>
              <w:pStyle w:val="DefaultParagraph"/>
              <w:rPr>
                <w:b/>
                <w:szCs w:val="21"/>
              </w:rPr>
            </w:pPr>
            <w:r>
              <w:rPr>
                <w:b/>
                <w:szCs w:val="21"/>
              </w:rPr>
              <w:t>　</w:t>
            </w:r>
          </w:p>
        </w:tc>
        <w:tc>
          <w:tcPr>
            <w:tcW w:w="365" w:type="dxa"/>
          </w:tcPr>
          <w:p>
            <w:pPr>
              <w:pStyle w:val="DefaultParagraph"/>
              <w:rPr>
                <w:b/>
                <w:szCs w:val="21"/>
              </w:rPr>
            </w:pPr>
            <w:r>
              <w:rPr>
                <w:b/>
                <w:szCs w:val="21"/>
              </w:rPr>
              <w:t>B．</w:t>
            </w:r>
          </w:p>
        </w:tc>
        <w:tc>
          <w:tcPr>
            <w:tcW w:w="8939" w:type="dxa"/>
          </w:tcPr>
          <w:p>
            <w:pPr>
              <w:pStyle w:val="DefaultParagraph"/>
              <w:rPr>
                <w:b/>
                <w:szCs w:val="21"/>
              </w:rPr>
            </w:pPr>
            <w:r>
              <w:rPr>
                <w:b/>
                <w:szCs w:val="21"/>
              </w:rPr>
              <w:t>EBV刺激T细胞分泌淋巴因子与该病毒结合</w:t>
            </w:r>
          </w:p>
        </w:tc>
      </w:tr>
      <w:tr>
        <w:tblPrEx>
          <w:tblW w:w="5000" w:type="pct"/>
          <w:tblInd w:w="-1" w:type="dxa"/>
          <w:tblCellMar>
            <w:top w:w="0" w:type="dxa"/>
            <w:left w:w="0" w:type="dxa"/>
            <w:bottom w:w="0" w:type="dxa"/>
            <w:right w:w="0" w:type="dxa"/>
          </w:tblCellMar>
          <w:tblLook w:val="0000"/>
        </w:tblPrEx>
        <w:tc>
          <w:tcPr>
            <w:tcW w:w="8" w:type="dxa"/>
          </w:tcPr>
          <w:p>
            <w:pPr>
              <w:pStyle w:val="DefaultParagraph"/>
              <w:rPr>
                <w:b/>
                <w:szCs w:val="21"/>
              </w:rPr>
            </w:pPr>
            <w:r>
              <w:rPr>
                <w:b/>
                <w:szCs w:val="21"/>
              </w:rPr>
              <w:t>　</w:t>
            </w:r>
          </w:p>
        </w:tc>
        <w:tc>
          <w:tcPr>
            <w:tcW w:w="365" w:type="dxa"/>
          </w:tcPr>
          <w:p>
            <w:pPr>
              <w:pStyle w:val="DefaultParagraph"/>
              <w:rPr>
                <w:b/>
                <w:szCs w:val="21"/>
              </w:rPr>
            </w:pPr>
            <w:r>
              <w:rPr>
                <w:b/>
                <w:szCs w:val="21"/>
              </w:rPr>
              <w:t>C．</w:t>
            </w:r>
          </w:p>
        </w:tc>
        <w:tc>
          <w:tcPr>
            <w:tcW w:w="8939" w:type="dxa"/>
          </w:tcPr>
          <w:p>
            <w:pPr>
              <w:pStyle w:val="DefaultParagraph"/>
              <w:rPr>
                <w:b/>
                <w:szCs w:val="21"/>
              </w:rPr>
            </w:pPr>
            <w:r>
              <w:rPr>
                <w:b/>
                <w:szCs w:val="21"/>
              </w:rPr>
              <w:t>在T细胞和EBV的共同刺激下，B细胞才能增殖、分化为浆细胞</w:t>
            </w:r>
          </w:p>
        </w:tc>
      </w:tr>
      <w:tr>
        <w:tblPrEx>
          <w:tblW w:w="5000" w:type="pct"/>
          <w:tblInd w:w="-1" w:type="dxa"/>
          <w:tblCellMar>
            <w:top w:w="0" w:type="dxa"/>
            <w:left w:w="0" w:type="dxa"/>
            <w:bottom w:w="0" w:type="dxa"/>
            <w:right w:w="0" w:type="dxa"/>
          </w:tblCellMar>
          <w:tblLook w:val="0000"/>
        </w:tblPrEx>
        <w:tc>
          <w:tcPr>
            <w:tcW w:w="8" w:type="dxa"/>
          </w:tcPr>
          <w:p>
            <w:pPr>
              <w:pStyle w:val="DefaultParagraph"/>
              <w:rPr>
                <w:b/>
                <w:szCs w:val="21"/>
              </w:rPr>
            </w:pPr>
            <w:r>
              <w:rPr>
                <w:b/>
                <w:szCs w:val="21"/>
              </w:rPr>
              <w:t>　</w:t>
            </w:r>
          </w:p>
        </w:tc>
        <w:tc>
          <w:tcPr>
            <w:tcW w:w="365" w:type="dxa"/>
          </w:tcPr>
          <w:p>
            <w:pPr>
              <w:pStyle w:val="DefaultParagraph"/>
              <w:rPr>
                <w:b/>
                <w:szCs w:val="21"/>
              </w:rPr>
            </w:pPr>
            <w:r>
              <w:rPr>
                <w:b/>
                <w:szCs w:val="21"/>
              </w:rPr>
              <w:t>D．</w:t>
            </w:r>
          </w:p>
        </w:tc>
        <w:tc>
          <w:tcPr>
            <w:tcW w:w="8939" w:type="dxa"/>
          </w:tcPr>
          <w:p>
            <w:pPr>
              <w:pStyle w:val="DefaultParagraph"/>
              <w:rPr>
                <w:b/>
                <w:szCs w:val="21"/>
              </w:rPr>
            </w:pPr>
            <w:r>
              <w:rPr>
                <w:b/>
                <w:szCs w:val="21"/>
              </w:rPr>
              <w:t>细胞免疫产生的效应T细胞可识别并破坏被EBV侵染的细胞</w:t>
            </w:r>
          </w:p>
        </w:tc>
      </w:tr>
    </w:tbl>
    <w:p>
      <w:pPr>
        <w:pStyle w:val="DefaultParagraph"/>
        <w:rPr>
          <w:b/>
          <w:szCs w:val="21"/>
        </w:rPr>
      </w:pPr>
      <w:r>
        <w:rPr>
          <w:b/>
          <w:szCs w:val="21"/>
        </w:rPr>
        <w:t>23．在发现生长素的研究历程中，詹森用实验证实胚芽鞘尖端产生的影响可以通过琼脂传递到尖端下部，他随后还做了进一步的实验，更加肯定了该影响为化学信号的猜想．他所做的实验是（　　）</w:t>
      </w:r>
    </w:p>
    <w:tbl>
      <w:tblPr>
        <w:tblStyle w:val="TableNormal"/>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
      <w:tblGrid>
        <w:gridCol w:w="12"/>
        <w:gridCol w:w="217"/>
        <w:gridCol w:w="1896"/>
        <w:gridCol w:w="217"/>
        <w:gridCol w:w="1896"/>
        <w:gridCol w:w="217"/>
        <w:gridCol w:w="1896"/>
        <w:gridCol w:w="217"/>
        <w:gridCol w:w="1897"/>
      </w:tblGrid>
      <w:tr>
        <w:tblPrEx>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A．</w:t>
            </w:r>
          </w:p>
        </w:tc>
        <w:tc>
          <w:tcPr>
            <w:tcW w:w="1150" w:type="pct"/>
          </w:tcPr>
          <w:p>
            <w:pPr>
              <w:pStyle w:val="DefaultParagraph"/>
              <w:rPr>
                <w:b/>
                <w:szCs w:val="21"/>
              </w:rPr>
            </w:pPr>
            <w:r>
              <w:rPr>
                <w:b/>
                <w:szCs w:val="21"/>
              </w:rPr>
              <w:pict>
                <v:shape id="Picture24" o:spid="_x0000_i1047" type="#_x0000_t75" style="width:54.7pt;height:49.45pt;mso-position-horizontal-relative:page;mso-position-vertical-relative:page;mso-wrap-style:square" filled="f" stroked="f">
                  <v:stroke linestyle="single"/>
                  <v:imagedata r:id="rId26" o:title=""/>
                  <v:path o:extrusionok="f"/>
                  <o:lock v:ext="edit" aspectratio="t"/>
                </v:shape>
              </w:pict>
            </w:r>
          </w:p>
        </w:tc>
        <w:tc>
          <w:tcPr>
            <w:tcW w:w="330" w:type="dxa"/>
          </w:tcPr>
          <w:p>
            <w:pPr>
              <w:pStyle w:val="DefaultParagraph"/>
              <w:rPr>
                <w:b/>
                <w:szCs w:val="21"/>
              </w:rPr>
            </w:pPr>
            <w:r>
              <w:rPr>
                <w:b/>
                <w:szCs w:val="21"/>
              </w:rPr>
              <w:t>B．</w:t>
            </w:r>
          </w:p>
        </w:tc>
        <w:tc>
          <w:tcPr>
            <w:tcW w:w="1150" w:type="pct"/>
          </w:tcPr>
          <w:p>
            <w:pPr>
              <w:pStyle w:val="DefaultParagraph"/>
              <w:rPr>
                <w:b/>
                <w:szCs w:val="21"/>
              </w:rPr>
            </w:pPr>
            <w:r>
              <w:rPr>
                <w:b/>
                <w:szCs w:val="21"/>
              </w:rPr>
              <w:pict>
                <v:shape id="Picture24" o:spid="_x0000_i1048" type="#_x0000_t75" style="width:79.42pt;height:32.23pt;mso-position-horizontal-relative:page;mso-position-vertical-relative:page;mso-wrap-style:square" filled="f" stroked="f">
                  <v:stroke linestyle="single"/>
                  <v:imagedata r:id="rId27" o:title=""/>
                  <v:path o:extrusionok="f"/>
                  <o:lock v:ext="edit" aspectratio="t"/>
                </v:shape>
              </w:pict>
            </w:r>
          </w:p>
        </w:tc>
        <w:tc>
          <w:tcPr>
            <w:tcW w:w="330" w:type="dxa"/>
          </w:tcPr>
          <w:p>
            <w:pPr>
              <w:pStyle w:val="DefaultParagraph"/>
              <w:rPr>
                <w:b/>
                <w:szCs w:val="21"/>
              </w:rPr>
            </w:pPr>
            <w:r>
              <w:rPr>
                <w:b/>
                <w:szCs w:val="21"/>
              </w:rPr>
              <w:t>C．</w:t>
            </w:r>
          </w:p>
        </w:tc>
        <w:tc>
          <w:tcPr>
            <w:tcW w:w="1150" w:type="pct"/>
          </w:tcPr>
          <w:p>
            <w:pPr>
              <w:pStyle w:val="DefaultParagraph"/>
              <w:rPr>
                <w:b/>
                <w:szCs w:val="21"/>
              </w:rPr>
            </w:pPr>
            <w:r>
              <w:rPr>
                <w:b/>
                <w:szCs w:val="21"/>
              </w:rPr>
              <w:pict>
                <v:shape id="Picture24" o:spid="_x0000_i1049" type="#_x0000_t75" style="width:77.92pt;height:50.2pt;mso-position-horizontal-relative:page;mso-position-vertical-relative:page;mso-wrap-style:square" filled="f" stroked="f">
                  <v:stroke linestyle="single"/>
                  <v:imagedata r:id="rId28" o:title=""/>
                  <v:path o:extrusionok="f"/>
                  <o:lock v:ext="edit" aspectratio="t"/>
                </v:shape>
              </w:pict>
            </w:r>
          </w:p>
        </w:tc>
        <w:tc>
          <w:tcPr>
            <w:tcW w:w="330" w:type="dxa"/>
          </w:tcPr>
          <w:p>
            <w:pPr>
              <w:pStyle w:val="DefaultParagraph"/>
              <w:rPr>
                <w:b/>
                <w:szCs w:val="21"/>
              </w:rPr>
            </w:pPr>
            <w:r>
              <w:rPr>
                <w:b/>
                <w:szCs w:val="21"/>
              </w:rPr>
              <w:t>D．</w:t>
            </w:r>
          </w:p>
        </w:tc>
        <w:tc>
          <w:tcPr>
            <w:tcW w:w="1150" w:type="pct"/>
          </w:tcPr>
          <w:p>
            <w:pPr>
              <w:pStyle w:val="DefaultParagraph"/>
              <w:rPr>
                <w:b/>
                <w:szCs w:val="21"/>
              </w:rPr>
            </w:pPr>
            <w:r>
              <w:rPr>
                <w:b/>
                <w:szCs w:val="21"/>
              </w:rPr>
              <w:pict>
                <v:shape id="Picture24" o:spid="_x0000_i1050" type="#_x0000_t75" style="width:89.25pt;height:51pt;mso-position-horizontal-relative:page;mso-position-vertical-relative:page;mso-wrap-style:square" filled="f" stroked="f">
                  <v:stroke linestyle="single"/>
                  <v:imagedata r:id="rId29" o:title=""/>
                  <v:path o:extrusionok="f"/>
                  <o:lock v:ext="edit" aspectratio="t"/>
                </v:shape>
              </w:pict>
            </w:r>
          </w:p>
        </w:tc>
      </w:tr>
    </w:tbl>
    <w:p>
      <w:pPr>
        <w:pStyle w:val="DefaultParagraph"/>
        <w:rPr>
          <w:b/>
          <w:szCs w:val="21"/>
        </w:rPr>
      </w:pPr>
    </w:p>
    <w:p>
      <w:pPr>
        <w:pStyle w:val="DefaultParagraph"/>
        <w:rPr>
          <w:b/>
          <w:szCs w:val="21"/>
        </w:rPr>
      </w:pPr>
      <w:r>
        <w:rPr>
          <w:b/>
          <w:szCs w:val="21"/>
        </w:rPr>
        <w:t>　</w:t>
      </w:r>
    </w:p>
    <w:p>
      <w:pPr>
        <w:pStyle w:val="DefaultParagraph"/>
        <w:rPr>
          <w:b/>
          <w:szCs w:val="21"/>
        </w:rPr>
      </w:pPr>
      <w:r>
        <w:rPr>
          <w:b/>
          <w:szCs w:val="21"/>
        </w:rPr>
        <w:t>24．如图为用燕麦胚芽鞘进行的向光性实验，下列叙述中正确的是（　　）</w:t>
      </w:r>
    </w:p>
    <w:p>
      <w:pPr>
        <w:pStyle w:val="DefaultParagraph"/>
        <w:rPr>
          <w:b/>
          <w:szCs w:val="21"/>
        </w:rPr>
      </w:pPr>
      <w:r>
        <w:rPr>
          <w:b/>
          <w:szCs w:val="21"/>
        </w:rPr>
        <w:pict>
          <v:shape id="Picture24" o:spid="_x0000_i1051" type="#_x0000_t75" style="width:197.85pt;height:90.75pt;mso-position-horizontal-relative:page;mso-position-vertical-relative:page;mso-wrap-style:square" filled="f" stroked="f">
            <v:stroke linestyle="single"/>
            <v:imagedata r:id="rId30" o:title=""/>
            <v:path o:extrusionok="f"/>
            <o:lock v:ext="edit" aspectratio="t"/>
          </v:shape>
        </w:pict>
      </w:r>
    </w:p>
    <w:tbl>
      <w:tblPr>
        <w:tblStyle w:val="TableNormal"/>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
      <w:tblGrid>
        <w:gridCol w:w="12"/>
        <w:gridCol w:w="217"/>
        <w:gridCol w:w="8236"/>
      </w:tblGrid>
      <w:tr>
        <w:tblPrEx>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A．</w:t>
            </w:r>
          </w:p>
        </w:tc>
        <w:tc>
          <w:tcPr>
            <w:tcW w:w="4900" w:type="pct"/>
          </w:tcPr>
          <w:p>
            <w:pPr>
              <w:pStyle w:val="DefaultParagraph"/>
              <w:rPr>
                <w:b/>
                <w:szCs w:val="21"/>
              </w:rPr>
            </w:pPr>
            <w:r>
              <w:rPr>
                <w:b/>
                <w:szCs w:val="21"/>
              </w:rPr>
              <w:t>①与③对照，说明胚芽鞘的生长与尖端有关</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B．</w:t>
            </w:r>
          </w:p>
        </w:tc>
        <w:tc>
          <w:tcPr>
            <w:tcW w:w="4900" w:type="pct"/>
          </w:tcPr>
          <w:p>
            <w:pPr>
              <w:pStyle w:val="DefaultParagraph"/>
              <w:rPr>
                <w:b/>
                <w:szCs w:val="21"/>
              </w:rPr>
            </w:pPr>
            <w:r>
              <w:rPr>
                <w:b/>
                <w:szCs w:val="21"/>
              </w:rPr>
              <w:t>②与③对照，说明向光弯曲生长与尖端有关</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C．</w:t>
            </w:r>
          </w:p>
        </w:tc>
        <w:tc>
          <w:tcPr>
            <w:tcW w:w="4900" w:type="pct"/>
          </w:tcPr>
          <w:p>
            <w:pPr>
              <w:pStyle w:val="DefaultParagraph"/>
              <w:rPr>
                <w:b/>
                <w:szCs w:val="21"/>
              </w:rPr>
            </w:pPr>
            <w:r>
              <w:rPr>
                <w:b/>
                <w:szCs w:val="21"/>
              </w:rPr>
              <w:t>②与④弯曲生长，与生长素分布不均有关</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D．</w:t>
            </w:r>
          </w:p>
        </w:tc>
        <w:tc>
          <w:tcPr>
            <w:tcW w:w="4900" w:type="pct"/>
          </w:tcPr>
          <w:p>
            <w:pPr>
              <w:pStyle w:val="DefaultParagraph"/>
              <w:rPr>
                <w:b/>
                <w:szCs w:val="21"/>
              </w:rPr>
            </w:pPr>
            <w:r>
              <w:rPr>
                <w:b/>
                <w:szCs w:val="21"/>
              </w:rPr>
              <w:t>②与⑤弯曲生长，与生长素的横向运输有关</w:t>
            </w:r>
          </w:p>
        </w:tc>
      </w:tr>
    </w:tbl>
    <w:p>
      <w:pPr>
        <w:pStyle w:val="DefaultParagraph"/>
        <w:rPr>
          <w:b/>
          <w:szCs w:val="21"/>
        </w:rPr>
      </w:pPr>
      <w:r>
        <w:rPr>
          <w:b/>
          <w:szCs w:val="21"/>
        </w:rPr>
        <w:t xml:space="preserve">25．如图表示多种植物激素对黄瓜幼苗生长的调节作用，据图判断下列说法不正确的是（　　） </w:t>
      </w:r>
      <w:r>
        <w:rPr>
          <w:b/>
          <w:szCs w:val="21"/>
        </w:rPr>
        <w:pict>
          <v:shape id="Picture24" o:spid="_x0000_i1052" type="#_x0000_t75" style="width:220.55pt;height:110.25pt;mso-position-horizontal-relative:page;mso-position-vertical-relative:page;mso-wrap-style:square" filled="f" stroked="f">
            <v:stroke linestyle="single"/>
            <v:imagedata r:id="rId31" o:title=""/>
            <v:path o:extrusionok="f"/>
            <o:lock v:ext="edit" aspectratio="t"/>
          </v:shape>
        </w:pict>
      </w:r>
    </w:p>
    <w:tbl>
      <w:tblPr>
        <w:tblStyle w:val="TableNormal"/>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
      <w:tblGrid>
        <w:gridCol w:w="12"/>
        <w:gridCol w:w="217"/>
        <w:gridCol w:w="8236"/>
      </w:tblGrid>
      <w:tr>
        <w:tblPrEx>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A．</w:t>
            </w:r>
          </w:p>
        </w:tc>
        <w:tc>
          <w:tcPr>
            <w:tcW w:w="4900" w:type="pct"/>
          </w:tcPr>
          <w:p>
            <w:pPr>
              <w:pStyle w:val="DefaultParagraph"/>
              <w:rPr>
                <w:b/>
                <w:szCs w:val="21"/>
              </w:rPr>
            </w:pPr>
            <w:r>
              <w:rPr>
                <w:b/>
                <w:szCs w:val="21"/>
              </w:rPr>
              <w:t>①②③代表的植物激素分别是赤霉素、生长素、乙烯</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B．</w:t>
            </w:r>
          </w:p>
        </w:tc>
        <w:tc>
          <w:tcPr>
            <w:tcW w:w="4900" w:type="pct"/>
          </w:tcPr>
          <w:p>
            <w:pPr>
              <w:pStyle w:val="DefaultParagraph"/>
              <w:rPr>
                <w:b/>
                <w:szCs w:val="21"/>
              </w:rPr>
            </w:pPr>
            <w:r>
              <w:rPr>
                <w:b/>
                <w:szCs w:val="21"/>
              </w:rPr>
              <w:t>激素①②③在促进幼苗生长过程中具有协同作用</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C．</w:t>
            </w:r>
          </w:p>
        </w:tc>
        <w:tc>
          <w:tcPr>
            <w:tcW w:w="4900" w:type="pct"/>
          </w:tcPr>
          <w:p>
            <w:pPr>
              <w:pStyle w:val="DefaultParagraph"/>
              <w:rPr>
                <w:b/>
                <w:szCs w:val="21"/>
              </w:rPr>
            </w:pPr>
            <w:r>
              <w:rPr>
                <w:b/>
                <w:szCs w:val="21"/>
              </w:rPr>
              <w:t>a浓度的激素②抑制细胞伸长、b浓度的激素②促进细胞伸长，激素②的作用具有两重性</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D．</w:t>
            </w:r>
          </w:p>
        </w:tc>
        <w:tc>
          <w:tcPr>
            <w:tcW w:w="4900" w:type="pct"/>
          </w:tcPr>
          <w:p>
            <w:pPr>
              <w:pStyle w:val="DefaultParagraph"/>
              <w:rPr>
                <w:b/>
                <w:szCs w:val="21"/>
              </w:rPr>
            </w:pPr>
            <w:r>
              <w:rPr>
                <w:b/>
                <w:szCs w:val="21"/>
              </w:rPr>
              <w:t>在幼苗生长过程中，除了图中的激素①②③外还有其他植物激素的作用</w:t>
            </w:r>
          </w:p>
        </w:tc>
      </w:tr>
    </w:tbl>
    <w:p>
      <w:pPr>
        <w:pStyle w:val="DefaultParagraph"/>
        <w:rPr>
          <w:b/>
          <w:szCs w:val="21"/>
        </w:rPr>
      </w:pPr>
      <w:r>
        <w:rPr>
          <w:b/>
          <w:szCs w:val="21"/>
        </w:rPr>
        <w:t>26．下列利用植物生长调节剂不合理的例子是（　　）</w:t>
      </w:r>
    </w:p>
    <w:tbl>
      <w:tblPr>
        <w:tblStyle w:val="TableNormal"/>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
      <w:tblGrid>
        <w:gridCol w:w="12"/>
        <w:gridCol w:w="217"/>
        <w:gridCol w:w="8236"/>
      </w:tblGrid>
      <w:tr>
        <w:tblPrEx>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A．</w:t>
            </w:r>
          </w:p>
        </w:tc>
        <w:tc>
          <w:tcPr>
            <w:tcW w:w="4900" w:type="pct"/>
          </w:tcPr>
          <w:p>
            <w:pPr>
              <w:pStyle w:val="DefaultParagraph"/>
              <w:rPr>
                <w:b/>
                <w:szCs w:val="21"/>
              </w:rPr>
            </w:pPr>
            <w:r>
              <w:rPr>
                <w:b/>
                <w:szCs w:val="21"/>
              </w:rPr>
              <w:t>当葡萄长得小时，适当使用赤霉素类似物</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B．</w:t>
            </w:r>
          </w:p>
        </w:tc>
        <w:tc>
          <w:tcPr>
            <w:tcW w:w="4900" w:type="pct"/>
          </w:tcPr>
          <w:p>
            <w:pPr>
              <w:pStyle w:val="DefaultParagraph"/>
              <w:rPr>
                <w:b/>
                <w:szCs w:val="21"/>
              </w:rPr>
            </w:pPr>
            <w:r>
              <w:rPr>
                <w:b/>
                <w:szCs w:val="21"/>
              </w:rPr>
              <w:t>鲜花的叶子老化太快速时，适当使用细胞分裂素类似物</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C．</w:t>
            </w:r>
          </w:p>
        </w:tc>
        <w:tc>
          <w:tcPr>
            <w:tcW w:w="4900" w:type="pct"/>
          </w:tcPr>
          <w:p>
            <w:pPr>
              <w:pStyle w:val="DefaultParagraph"/>
              <w:rPr>
                <w:b/>
                <w:szCs w:val="21"/>
              </w:rPr>
            </w:pPr>
            <w:r>
              <w:rPr>
                <w:b/>
                <w:szCs w:val="21"/>
              </w:rPr>
              <w:t>水果未成熟时，适当使用乙烯类似物对其催熟</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D．</w:t>
            </w:r>
          </w:p>
        </w:tc>
        <w:tc>
          <w:tcPr>
            <w:tcW w:w="4900" w:type="pct"/>
          </w:tcPr>
          <w:p>
            <w:pPr>
              <w:pStyle w:val="DefaultParagraph"/>
              <w:rPr>
                <w:b/>
                <w:szCs w:val="21"/>
              </w:rPr>
            </w:pPr>
            <w:r>
              <w:rPr>
                <w:b/>
                <w:szCs w:val="21"/>
              </w:rPr>
              <w:t>杀除禾谷类田间茂盛的单子叶植物类杂草时，适当使用生长素类似物</w:t>
            </w:r>
          </w:p>
        </w:tc>
      </w:tr>
    </w:tbl>
    <w:p>
      <w:pPr>
        <w:pStyle w:val="DefaultParagraph"/>
        <w:rPr>
          <w:b/>
          <w:szCs w:val="21"/>
        </w:rPr>
      </w:pPr>
      <w:r>
        <w:rPr>
          <w:b/>
          <w:szCs w:val="21"/>
        </w:rPr>
        <w:t>27．将某植物幼苗分别培养在不同浓度生长素溶液中，再用相同的水平单侧光照射根部，测得根的生长情况及负向光性倾斜角度（α）如图所示．下列叙述错误的是（　　）</w:t>
      </w:r>
    </w:p>
    <w:p>
      <w:pPr>
        <w:pStyle w:val="DefaultParagraph"/>
        <w:rPr>
          <w:b/>
          <w:szCs w:val="21"/>
        </w:rPr>
      </w:pPr>
      <w:r>
        <w:rPr>
          <w:b/>
          <w:szCs w:val="21"/>
        </w:rPr>
        <w:pict>
          <v:shape id="Picture24" o:spid="_x0000_i1053" type="#_x0000_t75" style="width:405.8pt;height:107.19pt;mso-position-horizontal-relative:page;mso-position-vertical-relative:page;mso-wrap-style:square" filled="f" stroked="f">
            <v:stroke linestyle="single"/>
            <v:imagedata r:id="rId32" o:title=""/>
            <v:path o:extrusionok="f"/>
            <o:lock v:ext="edit" aspectratio="t"/>
          </v:shape>
        </w:pict>
      </w:r>
    </w:p>
    <w:tbl>
      <w:tblPr>
        <w:tblStyle w:val="TableNormal"/>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
      <w:tblGrid>
        <w:gridCol w:w="12"/>
        <w:gridCol w:w="217"/>
        <w:gridCol w:w="8236"/>
      </w:tblGrid>
      <w:tr>
        <w:tblPrEx>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A．</w:t>
            </w:r>
          </w:p>
        </w:tc>
        <w:tc>
          <w:tcPr>
            <w:tcW w:w="4900" w:type="pct"/>
          </w:tcPr>
          <w:p>
            <w:pPr>
              <w:pStyle w:val="DefaultParagraph"/>
              <w:rPr>
                <w:b/>
                <w:szCs w:val="21"/>
              </w:rPr>
            </w:pPr>
            <w:r>
              <w:rPr>
                <w:b/>
                <w:szCs w:val="21"/>
              </w:rPr>
              <w:t>外源生长素对根负向光性倾斜角度影响较小的浓度是10</w:t>
            </w:r>
            <w:r>
              <w:rPr>
                <w:b/>
                <w:szCs w:val="21"/>
                <w:vertAlign w:val="superscript"/>
              </w:rPr>
              <w:t>﹣5</w:t>
            </w:r>
            <w:r>
              <w:rPr>
                <w:b/>
                <w:szCs w:val="21"/>
              </w:rPr>
              <w:t>mg/L</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B．</w:t>
            </w:r>
          </w:p>
        </w:tc>
        <w:tc>
          <w:tcPr>
            <w:tcW w:w="4900" w:type="pct"/>
          </w:tcPr>
          <w:p>
            <w:pPr>
              <w:pStyle w:val="DefaultParagraph"/>
              <w:rPr>
                <w:b/>
                <w:szCs w:val="21"/>
              </w:rPr>
            </w:pPr>
            <w:r>
              <w:rPr>
                <w:b/>
                <w:szCs w:val="21"/>
              </w:rPr>
              <w:t>既不促进，也不抑制根生长的外源生长素浓度在10</w:t>
            </w:r>
            <w:r>
              <w:rPr>
                <w:b/>
                <w:szCs w:val="21"/>
                <w:vertAlign w:val="superscript"/>
              </w:rPr>
              <w:t>﹣4</w:t>
            </w:r>
            <w:r>
              <w:rPr>
                <w:b/>
                <w:szCs w:val="21"/>
              </w:rPr>
              <w:t>～10</w:t>
            </w:r>
            <w:r>
              <w:rPr>
                <w:b/>
                <w:szCs w:val="21"/>
                <w:vertAlign w:val="superscript"/>
              </w:rPr>
              <w:t>﹣3</w:t>
            </w:r>
            <w:r>
              <w:rPr>
                <w:b/>
                <w:szCs w:val="21"/>
              </w:rPr>
              <w:t>mg/L之间</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C．</w:t>
            </w:r>
          </w:p>
        </w:tc>
        <w:tc>
          <w:tcPr>
            <w:tcW w:w="4900" w:type="pct"/>
          </w:tcPr>
          <w:p>
            <w:pPr>
              <w:pStyle w:val="DefaultParagraph"/>
              <w:rPr>
                <w:b/>
                <w:szCs w:val="21"/>
              </w:rPr>
            </w:pPr>
            <w:r>
              <w:rPr>
                <w:b/>
                <w:szCs w:val="21"/>
              </w:rPr>
              <w:t>施用1AA对根生长的作用都表现为低浓度促进、高浓度抑制</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D．</w:t>
            </w:r>
          </w:p>
        </w:tc>
        <w:tc>
          <w:tcPr>
            <w:tcW w:w="4900" w:type="pct"/>
          </w:tcPr>
          <w:p>
            <w:pPr>
              <w:pStyle w:val="DefaultParagraph"/>
              <w:rPr>
                <w:b/>
                <w:szCs w:val="21"/>
              </w:rPr>
            </w:pPr>
            <w:r>
              <w:rPr>
                <w:b/>
                <w:szCs w:val="21"/>
              </w:rPr>
              <w:t>根尖发生弯曲生长的间接原因可能是单侧光引起根尖两侧lAA含量的差异</w:t>
            </w:r>
          </w:p>
        </w:tc>
      </w:tr>
    </w:tbl>
    <w:p>
      <w:pPr>
        <w:pStyle w:val="DefaultParagraph"/>
        <w:rPr>
          <w:b/>
          <w:szCs w:val="21"/>
        </w:rPr>
      </w:pPr>
      <w:r>
        <w:rPr>
          <w:b/>
          <w:szCs w:val="21"/>
        </w:rPr>
        <w:t>28．如图表示生长素对根、芽和茎生长的影响，从此图中不能得到的结论是（　　）</w:t>
      </w:r>
      <w:r>
        <w:rPr>
          <w:b/>
          <w:szCs w:val="21"/>
        </w:rPr>
        <w:pict>
          <v:shape id="Picture24" o:spid="_x0000_i1054" type="#_x0000_t75" style="width:150.75pt;height:92.25pt;mso-position-horizontal-relative:page;mso-position-vertical-relative:page;mso-wrap-style:square" filled="f" stroked="f">
            <v:stroke linestyle="single"/>
            <v:imagedata r:id="rId33" o:title=""/>
            <v:path o:extrusionok="f"/>
            <o:lock v:ext="edit" aspectratio="t"/>
          </v:shape>
        </w:pict>
      </w:r>
    </w:p>
    <w:tbl>
      <w:tblPr>
        <w:tblStyle w:val="TableNormal"/>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
      <w:tblGrid>
        <w:gridCol w:w="12"/>
        <w:gridCol w:w="217"/>
        <w:gridCol w:w="8236"/>
      </w:tblGrid>
      <w:tr>
        <w:tblPrEx>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A．</w:t>
            </w:r>
          </w:p>
        </w:tc>
        <w:tc>
          <w:tcPr>
            <w:tcW w:w="4900" w:type="pct"/>
          </w:tcPr>
          <w:p>
            <w:pPr>
              <w:pStyle w:val="DefaultParagraph"/>
              <w:rPr>
                <w:b/>
                <w:szCs w:val="21"/>
              </w:rPr>
            </w:pPr>
            <w:r>
              <w:rPr>
                <w:b/>
                <w:szCs w:val="21"/>
              </w:rPr>
              <w:t>生长素对三种器官的作用都是低浓度促进生长，高浓度抑制生长</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B．</w:t>
            </w:r>
          </w:p>
        </w:tc>
        <w:tc>
          <w:tcPr>
            <w:tcW w:w="4900" w:type="pct"/>
          </w:tcPr>
          <w:p>
            <w:pPr>
              <w:pStyle w:val="DefaultParagraph"/>
              <w:rPr>
                <w:b/>
                <w:szCs w:val="21"/>
              </w:rPr>
            </w:pPr>
            <w:r>
              <w:rPr>
                <w:b/>
                <w:szCs w:val="21"/>
              </w:rPr>
              <w:t>A、B、C对应的生长素浓度分别是促进根、芽、茎生长的最适宜浓度</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C．</w:t>
            </w:r>
          </w:p>
        </w:tc>
        <w:tc>
          <w:tcPr>
            <w:tcW w:w="4900" w:type="pct"/>
          </w:tcPr>
          <w:p>
            <w:pPr>
              <w:pStyle w:val="DefaultParagraph"/>
              <w:rPr>
                <w:b/>
                <w:szCs w:val="21"/>
              </w:rPr>
            </w:pPr>
            <w:r>
              <w:rPr>
                <w:b/>
                <w:szCs w:val="21"/>
              </w:rPr>
              <w:t>D点对应的生长素浓度能促进茎和芽的生长，抑制根的生长</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D．</w:t>
            </w:r>
          </w:p>
        </w:tc>
        <w:tc>
          <w:tcPr>
            <w:tcW w:w="4900" w:type="pct"/>
          </w:tcPr>
          <w:p>
            <w:pPr>
              <w:pStyle w:val="DefaultParagraph"/>
              <w:rPr>
                <w:b/>
                <w:szCs w:val="21"/>
              </w:rPr>
            </w:pPr>
            <w:r>
              <w:rPr>
                <w:b/>
                <w:szCs w:val="21"/>
              </w:rPr>
              <w:t>幼嫩细胞对生长素浓度敏感，成熟的细胞对生长素敏感性差</w:t>
            </w:r>
          </w:p>
        </w:tc>
      </w:tr>
    </w:tbl>
    <w:p>
      <w:pPr>
        <w:pStyle w:val="DefaultParagraph"/>
        <w:rPr>
          <w:b/>
          <w:szCs w:val="21"/>
        </w:rPr>
      </w:pPr>
      <w:r>
        <w:rPr>
          <w:b/>
          <w:szCs w:val="21"/>
        </w:rPr>
        <w:t>29．植物激素种类多样，调控机制复杂，同时植物激素和人工合成的类似化学物质在农业生产实践中也应用得非常广泛．下列有关植物激素和人工合成的类似化学物质的叙述正确的是（　　）</w:t>
      </w:r>
    </w:p>
    <w:tbl>
      <w:tblPr>
        <w:tblStyle w:val="TableNormal"/>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
      <w:tblGrid>
        <w:gridCol w:w="12"/>
        <w:gridCol w:w="217"/>
        <w:gridCol w:w="8236"/>
      </w:tblGrid>
      <w:tr>
        <w:tblPrEx>
          <w:tblW w:w="5000" w:type="pct"/>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A．</w:t>
            </w:r>
          </w:p>
        </w:tc>
        <w:tc>
          <w:tcPr>
            <w:tcW w:w="4900" w:type="pct"/>
          </w:tcPr>
          <w:p>
            <w:pPr>
              <w:pStyle w:val="DefaultParagraph"/>
              <w:rPr>
                <w:b/>
                <w:szCs w:val="21"/>
              </w:rPr>
            </w:pPr>
            <w:r>
              <w:rPr>
                <w:b/>
                <w:szCs w:val="21"/>
              </w:rPr>
              <w:t>幼根中细胞分裂素含量较高，但不含乙烯</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B．</w:t>
            </w:r>
          </w:p>
        </w:tc>
        <w:tc>
          <w:tcPr>
            <w:tcW w:w="4900" w:type="pct"/>
          </w:tcPr>
          <w:p>
            <w:pPr>
              <w:pStyle w:val="DefaultParagraph"/>
              <w:rPr>
                <w:b/>
                <w:szCs w:val="21"/>
              </w:rPr>
            </w:pPr>
            <w:r>
              <w:rPr>
                <w:b/>
                <w:szCs w:val="21"/>
              </w:rPr>
              <w:t>植物生长素促进生长的效应与其浓度及作用部位无关</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C．</w:t>
            </w:r>
          </w:p>
        </w:tc>
        <w:tc>
          <w:tcPr>
            <w:tcW w:w="4900" w:type="pct"/>
          </w:tcPr>
          <w:p>
            <w:pPr>
              <w:pStyle w:val="DefaultParagraph"/>
              <w:rPr>
                <w:b/>
                <w:szCs w:val="21"/>
              </w:rPr>
            </w:pPr>
            <w:r>
              <w:rPr>
                <w:b/>
                <w:szCs w:val="21"/>
              </w:rPr>
              <w:t>播种前用一定浓度的赤霉素溶液浸泡种子，以促进种子的萌发</w:t>
            </w:r>
          </w:p>
        </w:tc>
      </w:tr>
      <w:tr>
        <w:tblPrEx>
          <w:tblW w:w="5000" w:type="pct"/>
          <w:tblInd w:w="-1" w:type="dxa"/>
          <w:tblCellMar>
            <w:top w:w="0" w:type="dxa"/>
            <w:left w:w="0" w:type="dxa"/>
            <w:bottom w:w="0" w:type="dxa"/>
            <w:right w:w="0" w:type="dxa"/>
          </w:tblCellMar>
          <w:tblLook w:val="0000"/>
        </w:tblPrEx>
        <w:tc>
          <w:tcPr>
            <w:tcW w:w="225" w:type="dxa"/>
          </w:tcPr>
          <w:p>
            <w:pPr>
              <w:pStyle w:val="DefaultParagraph"/>
              <w:rPr>
                <w:b/>
                <w:szCs w:val="21"/>
              </w:rPr>
            </w:pPr>
            <w:r>
              <w:rPr>
                <w:b/>
                <w:szCs w:val="21"/>
              </w:rPr>
              <w:t>　</w:t>
            </w:r>
          </w:p>
        </w:tc>
        <w:tc>
          <w:tcPr>
            <w:tcW w:w="330" w:type="dxa"/>
          </w:tcPr>
          <w:p>
            <w:pPr>
              <w:pStyle w:val="DefaultParagraph"/>
              <w:rPr>
                <w:b/>
                <w:szCs w:val="21"/>
              </w:rPr>
            </w:pPr>
            <w:r>
              <w:rPr>
                <w:b/>
                <w:szCs w:val="21"/>
              </w:rPr>
              <w:t>D．</w:t>
            </w:r>
          </w:p>
        </w:tc>
        <w:tc>
          <w:tcPr>
            <w:tcW w:w="4900" w:type="pct"/>
          </w:tcPr>
          <w:p>
            <w:pPr>
              <w:pStyle w:val="DefaultParagraph"/>
              <w:rPr>
                <w:b/>
                <w:szCs w:val="21"/>
              </w:rPr>
            </w:pPr>
            <w:r>
              <w:rPr>
                <w:b/>
                <w:szCs w:val="21"/>
              </w:rPr>
              <w:t>油菜开花期如遇阴雨天，错过了最佳传粉时期，可以通过喷洒适宜浓度的2，4﹣D提高产量</w:t>
            </w:r>
          </w:p>
        </w:tc>
      </w:tr>
    </w:tbl>
    <w:p>
      <w:pPr>
        <w:pStyle w:val="DefaultParagraph"/>
        <w:rPr>
          <w:b/>
          <w:szCs w:val="21"/>
        </w:rPr>
      </w:pPr>
      <w:r>
        <w:rPr>
          <w:b/>
          <w:szCs w:val="21"/>
        </w:rPr>
        <w:t>30．研究人员进行两种植物激素对豌豆植株侧芽伸长长度（单位：mm）影响的实验，结果如下表．据表分析正确的是（　　）</w:t>
      </w:r>
    </w:p>
    <w:tbl>
      <w:tblPr>
        <w:tblStyle w:val="TableNormal"/>
        <w:tblW w:w="0" w:type="auto"/>
        <w:tblInd w:w="-1"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0" w:type="dxa"/>
          <w:left w:w="0" w:type="dxa"/>
          <w:bottom w:w="0" w:type="dxa"/>
          <w:right w:w="0" w:type="dxa"/>
        </w:tblCellMar>
        <w:tblLook w:val="0000"/>
      </w:tblPr>
      <w:tblGrid>
        <w:gridCol w:w="12"/>
        <w:gridCol w:w="348"/>
        <w:gridCol w:w="388"/>
        <w:gridCol w:w="2448"/>
        <w:gridCol w:w="837"/>
        <w:gridCol w:w="838"/>
        <w:gridCol w:w="838"/>
        <w:gridCol w:w="850"/>
        <w:gridCol w:w="1904"/>
      </w:tblGrid>
      <w:tr>
        <w:tblPrEx>
          <w:tblW w:w="0" w:type="auto"/>
          <w:tblInd w:w="-1"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0" w:type="dxa"/>
            <w:left w:w="0" w:type="dxa"/>
            <w:bottom w:w="0" w:type="dxa"/>
            <w:right w:w="0" w:type="dxa"/>
          </w:tblCellMar>
          <w:tblLook w:val="0000"/>
        </w:tblPrEx>
        <w:trPr>
          <w:gridAfter w:val="1"/>
          <w:wAfter w:w="2142" w:type="dxa"/>
        </w:trPr>
        <w:tc>
          <w:tcPr>
            <w:tcW w:w="810" w:type="dxa"/>
            <w:gridSpan w:val="3"/>
          </w:tcPr>
          <w:p>
            <w:pPr>
              <w:pStyle w:val="DefaultParagraph"/>
              <w:rPr>
                <w:b/>
                <w:szCs w:val="21"/>
              </w:rPr>
            </w:pPr>
            <w:r>
              <w:rPr>
                <w:b/>
                <w:szCs w:val="21"/>
              </w:rPr>
              <w:t>组号</w:t>
            </w:r>
          </w:p>
        </w:tc>
        <w:tc>
          <w:tcPr>
            <w:tcW w:w="2700" w:type="dxa"/>
          </w:tcPr>
          <w:p>
            <w:pPr>
              <w:pStyle w:val="DefaultParagraph"/>
              <w:rPr>
                <w:b/>
                <w:szCs w:val="21"/>
              </w:rPr>
            </w:pPr>
            <w:r>
              <w:rPr>
                <w:b/>
                <w:szCs w:val="21"/>
              </w:rPr>
              <w:t>操作</w:t>
            </w:r>
          </w:p>
        </w:tc>
        <w:tc>
          <w:tcPr>
            <w:tcW w:w="915" w:type="dxa"/>
          </w:tcPr>
          <w:p>
            <w:pPr>
              <w:pStyle w:val="DefaultParagraph"/>
              <w:rPr>
                <w:b/>
                <w:szCs w:val="21"/>
              </w:rPr>
            </w:pPr>
            <w:r>
              <w:rPr>
                <w:b/>
                <w:szCs w:val="21"/>
              </w:rPr>
              <w:t>第1天</w:t>
            </w:r>
          </w:p>
        </w:tc>
        <w:tc>
          <w:tcPr>
            <w:tcW w:w="915" w:type="dxa"/>
          </w:tcPr>
          <w:p>
            <w:pPr>
              <w:pStyle w:val="DefaultParagraph"/>
              <w:rPr>
                <w:b/>
                <w:szCs w:val="21"/>
              </w:rPr>
            </w:pPr>
            <w:r>
              <w:rPr>
                <w:b/>
                <w:szCs w:val="21"/>
              </w:rPr>
              <w:t>第3天</w:t>
            </w:r>
          </w:p>
        </w:tc>
        <w:tc>
          <w:tcPr>
            <w:tcW w:w="915" w:type="dxa"/>
          </w:tcPr>
          <w:p>
            <w:pPr>
              <w:pStyle w:val="DefaultParagraph"/>
              <w:rPr>
                <w:b/>
                <w:szCs w:val="21"/>
              </w:rPr>
            </w:pPr>
            <w:r>
              <w:rPr>
                <w:b/>
                <w:szCs w:val="21"/>
              </w:rPr>
              <w:t>第5天</w:t>
            </w:r>
          </w:p>
        </w:tc>
        <w:tc>
          <w:tcPr>
            <w:tcW w:w="915" w:type="dxa"/>
          </w:tcPr>
          <w:p>
            <w:pPr>
              <w:pStyle w:val="DefaultParagraph"/>
              <w:rPr>
                <w:b/>
                <w:szCs w:val="21"/>
              </w:rPr>
            </w:pPr>
            <w:r>
              <w:rPr>
                <w:b/>
                <w:szCs w:val="21"/>
              </w:rPr>
              <w:t>第7天</w:t>
            </w:r>
          </w:p>
        </w:tc>
      </w:tr>
      <w:tr>
        <w:tblPrEx>
          <w:tblW w:w="0" w:type="auto"/>
          <w:tblInd w:w="-1" w:type="dxa"/>
          <w:tblCellMar>
            <w:top w:w="0" w:type="dxa"/>
            <w:left w:w="0" w:type="dxa"/>
            <w:bottom w:w="0" w:type="dxa"/>
            <w:right w:w="0" w:type="dxa"/>
          </w:tblCellMar>
          <w:tblLook w:val="0000"/>
        </w:tblPrEx>
        <w:trPr>
          <w:gridAfter w:val="1"/>
          <w:wAfter w:w="2142" w:type="dxa"/>
        </w:trPr>
        <w:tc>
          <w:tcPr>
            <w:tcW w:w="810" w:type="dxa"/>
            <w:gridSpan w:val="3"/>
          </w:tcPr>
          <w:p>
            <w:pPr>
              <w:pStyle w:val="DefaultParagraph"/>
              <w:rPr>
                <w:b/>
                <w:szCs w:val="21"/>
              </w:rPr>
            </w:pPr>
            <w:r>
              <w:rPr>
                <w:b/>
                <w:szCs w:val="21"/>
              </w:rPr>
              <w:t>甲</w:t>
            </w:r>
          </w:p>
        </w:tc>
        <w:tc>
          <w:tcPr>
            <w:tcW w:w="2700" w:type="dxa"/>
          </w:tcPr>
          <w:p>
            <w:pPr>
              <w:pStyle w:val="DefaultParagraph"/>
              <w:rPr>
                <w:b/>
                <w:szCs w:val="21"/>
              </w:rPr>
            </w:pPr>
            <w:r>
              <w:rPr>
                <w:b/>
                <w:szCs w:val="21"/>
              </w:rPr>
              <w:t>顶芽保留</w:t>
            </w:r>
          </w:p>
        </w:tc>
        <w:tc>
          <w:tcPr>
            <w:tcW w:w="915" w:type="dxa"/>
          </w:tcPr>
          <w:p>
            <w:pPr>
              <w:pStyle w:val="DefaultParagraph"/>
              <w:rPr>
                <w:b/>
                <w:szCs w:val="21"/>
              </w:rPr>
            </w:pPr>
            <w:r>
              <w:rPr>
                <w:b/>
                <w:szCs w:val="21"/>
              </w:rPr>
              <w:t xml:space="preserve"> 0</w:t>
            </w:r>
          </w:p>
        </w:tc>
        <w:tc>
          <w:tcPr>
            <w:tcW w:w="915" w:type="dxa"/>
          </w:tcPr>
          <w:p>
            <w:pPr>
              <w:pStyle w:val="DefaultParagraph"/>
              <w:rPr>
                <w:b/>
                <w:szCs w:val="21"/>
              </w:rPr>
            </w:pPr>
            <w:r>
              <w:rPr>
                <w:b/>
                <w:szCs w:val="21"/>
              </w:rPr>
              <w:t xml:space="preserve">0 </w:t>
            </w:r>
          </w:p>
        </w:tc>
        <w:tc>
          <w:tcPr>
            <w:tcW w:w="915" w:type="dxa"/>
          </w:tcPr>
          <w:p>
            <w:pPr>
              <w:pStyle w:val="DefaultParagraph"/>
              <w:rPr>
                <w:b/>
                <w:szCs w:val="21"/>
              </w:rPr>
            </w:pPr>
            <w:r>
              <w:rPr>
                <w:b/>
                <w:szCs w:val="21"/>
              </w:rPr>
              <w:t xml:space="preserve">0 </w:t>
            </w:r>
          </w:p>
        </w:tc>
        <w:tc>
          <w:tcPr>
            <w:tcW w:w="915" w:type="dxa"/>
          </w:tcPr>
          <w:p>
            <w:pPr>
              <w:pStyle w:val="DefaultParagraph"/>
              <w:rPr>
                <w:b/>
                <w:szCs w:val="21"/>
              </w:rPr>
            </w:pPr>
            <w:r>
              <w:rPr>
                <w:b/>
                <w:szCs w:val="21"/>
              </w:rPr>
              <w:t xml:space="preserve">0 </w:t>
            </w:r>
          </w:p>
        </w:tc>
      </w:tr>
      <w:tr>
        <w:tblPrEx>
          <w:tblW w:w="0" w:type="auto"/>
          <w:tblInd w:w="-1" w:type="dxa"/>
          <w:tblCellMar>
            <w:top w:w="0" w:type="dxa"/>
            <w:left w:w="0" w:type="dxa"/>
            <w:bottom w:w="0" w:type="dxa"/>
            <w:right w:w="0" w:type="dxa"/>
          </w:tblCellMar>
          <w:tblLook w:val="0000"/>
        </w:tblPrEx>
        <w:trPr>
          <w:gridAfter w:val="1"/>
          <w:wAfter w:w="2142" w:type="dxa"/>
        </w:trPr>
        <w:tc>
          <w:tcPr>
            <w:tcW w:w="810" w:type="dxa"/>
            <w:gridSpan w:val="3"/>
          </w:tcPr>
          <w:p>
            <w:pPr>
              <w:pStyle w:val="DefaultParagraph"/>
              <w:rPr>
                <w:b/>
                <w:szCs w:val="21"/>
              </w:rPr>
            </w:pPr>
            <w:r>
              <w:rPr>
                <w:b/>
                <w:szCs w:val="21"/>
              </w:rPr>
              <w:t>乙</w:t>
            </w:r>
          </w:p>
        </w:tc>
        <w:tc>
          <w:tcPr>
            <w:tcW w:w="2700" w:type="dxa"/>
          </w:tcPr>
          <w:p>
            <w:pPr>
              <w:pStyle w:val="DefaultParagraph"/>
              <w:rPr>
                <w:b/>
                <w:szCs w:val="21"/>
              </w:rPr>
            </w:pPr>
            <w:r>
              <w:rPr>
                <w:b/>
                <w:szCs w:val="21"/>
              </w:rPr>
              <w:t xml:space="preserve"> 去顶芽</w:t>
            </w:r>
          </w:p>
        </w:tc>
        <w:tc>
          <w:tcPr>
            <w:tcW w:w="915" w:type="dxa"/>
          </w:tcPr>
          <w:p>
            <w:pPr>
              <w:pStyle w:val="DefaultParagraph"/>
              <w:rPr>
                <w:b/>
                <w:szCs w:val="21"/>
              </w:rPr>
            </w:pPr>
            <w:r>
              <w:rPr>
                <w:b/>
                <w:szCs w:val="21"/>
              </w:rPr>
              <w:t xml:space="preserve">0 </w:t>
            </w:r>
          </w:p>
        </w:tc>
        <w:tc>
          <w:tcPr>
            <w:tcW w:w="915" w:type="dxa"/>
          </w:tcPr>
          <w:p>
            <w:pPr>
              <w:pStyle w:val="DefaultParagraph"/>
              <w:rPr>
                <w:b/>
                <w:szCs w:val="21"/>
              </w:rPr>
            </w:pPr>
            <w:r>
              <w:rPr>
                <w:b/>
                <w:szCs w:val="21"/>
              </w:rPr>
              <w:t xml:space="preserve">20 </w:t>
            </w:r>
          </w:p>
        </w:tc>
        <w:tc>
          <w:tcPr>
            <w:tcW w:w="915" w:type="dxa"/>
          </w:tcPr>
          <w:p>
            <w:pPr>
              <w:pStyle w:val="DefaultParagraph"/>
              <w:rPr>
                <w:b/>
                <w:szCs w:val="21"/>
              </w:rPr>
            </w:pPr>
            <w:r>
              <w:rPr>
                <w:b/>
                <w:szCs w:val="21"/>
              </w:rPr>
              <w:t xml:space="preserve">40 </w:t>
            </w:r>
          </w:p>
        </w:tc>
        <w:tc>
          <w:tcPr>
            <w:tcW w:w="915" w:type="dxa"/>
          </w:tcPr>
          <w:p>
            <w:pPr>
              <w:pStyle w:val="DefaultParagraph"/>
              <w:rPr>
                <w:b/>
                <w:szCs w:val="21"/>
              </w:rPr>
            </w:pPr>
            <w:r>
              <w:rPr>
                <w:b/>
                <w:szCs w:val="21"/>
              </w:rPr>
              <w:t xml:space="preserve">60 </w:t>
            </w:r>
          </w:p>
        </w:tc>
      </w:tr>
      <w:tr>
        <w:tblPrEx>
          <w:tblW w:w="0" w:type="auto"/>
          <w:tblInd w:w="-1" w:type="dxa"/>
          <w:tblCellMar>
            <w:top w:w="0" w:type="dxa"/>
            <w:left w:w="0" w:type="dxa"/>
            <w:bottom w:w="0" w:type="dxa"/>
            <w:right w:w="0" w:type="dxa"/>
          </w:tblCellMar>
          <w:tblLook w:val="0000"/>
        </w:tblPrEx>
        <w:trPr>
          <w:gridAfter w:val="1"/>
          <w:wAfter w:w="2142" w:type="dxa"/>
        </w:trPr>
        <w:tc>
          <w:tcPr>
            <w:tcW w:w="810" w:type="dxa"/>
            <w:gridSpan w:val="3"/>
          </w:tcPr>
          <w:p>
            <w:pPr>
              <w:pStyle w:val="DefaultParagraph"/>
              <w:rPr>
                <w:b/>
                <w:szCs w:val="21"/>
              </w:rPr>
            </w:pPr>
            <w:r>
              <w:rPr>
                <w:b/>
                <w:szCs w:val="21"/>
              </w:rPr>
              <w:t>丙</w:t>
            </w:r>
          </w:p>
        </w:tc>
        <w:tc>
          <w:tcPr>
            <w:tcW w:w="2700" w:type="dxa"/>
          </w:tcPr>
          <w:p>
            <w:pPr>
              <w:pStyle w:val="DefaultParagraph"/>
              <w:rPr>
                <w:b/>
                <w:szCs w:val="21"/>
              </w:rPr>
            </w:pPr>
            <w:r>
              <w:rPr>
                <w:b/>
                <w:szCs w:val="21"/>
              </w:rPr>
              <w:t xml:space="preserve"> 去顶芽，切口涂抹生长素</w:t>
            </w:r>
          </w:p>
        </w:tc>
        <w:tc>
          <w:tcPr>
            <w:tcW w:w="915" w:type="dxa"/>
          </w:tcPr>
          <w:p>
            <w:pPr>
              <w:pStyle w:val="DefaultParagraph"/>
              <w:rPr>
                <w:b/>
                <w:szCs w:val="21"/>
              </w:rPr>
            </w:pPr>
            <w:r>
              <w:rPr>
                <w:b/>
                <w:szCs w:val="21"/>
              </w:rPr>
              <w:t xml:space="preserve"> 0</w:t>
            </w:r>
          </w:p>
        </w:tc>
        <w:tc>
          <w:tcPr>
            <w:tcW w:w="915" w:type="dxa"/>
          </w:tcPr>
          <w:p>
            <w:pPr>
              <w:pStyle w:val="DefaultParagraph"/>
              <w:rPr>
                <w:b/>
                <w:szCs w:val="21"/>
              </w:rPr>
            </w:pPr>
            <w:r>
              <w:rPr>
                <w:b/>
                <w:szCs w:val="21"/>
              </w:rPr>
              <w:t xml:space="preserve">2 </w:t>
            </w:r>
          </w:p>
        </w:tc>
        <w:tc>
          <w:tcPr>
            <w:tcW w:w="915" w:type="dxa"/>
          </w:tcPr>
          <w:p>
            <w:pPr>
              <w:pStyle w:val="DefaultParagraph"/>
              <w:rPr>
                <w:b/>
                <w:szCs w:val="21"/>
              </w:rPr>
            </w:pPr>
            <w:r>
              <w:rPr>
                <w:b/>
                <w:szCs w:val="21"/>
              </w:rPr>
              <w:t xml:space="preserve">5 </w:t>
            </w:r>
          </w:p>
        </w:tc>
        <w:tc>
          <w:tcPr>
            <w:tcW w:w="915" w:type="dxa"/>
          </w:tcPr>
          <w:p>
            <w:pPr>
              <w:pStyle w:val="DefaultParagraph"/>
              <w:rPr>
                <w:b/>
                <w:szCs w:val="21"/>
              </w:rPr>
            </w:pPr>
            <w:r>
              <w:rPr>
                <w:b/>
                <w:szCs w:val="21"/>
              </w:rPr>
              <w:t xml:space="preserve">7 </w:t>
            </w:r>
          </w:p>
        </w:tc>
      </w:tr>
      <w:tr>
        <w:tblPrEx>
          <w:tblW w:w="0" w:type="auto"/>
          <w:tblInd w:w="-1" w:type="dxa"/>
          <w:tblCellMar>
            <w:top w:w="0" w:type="dxa"/>
            <w:left w:w="0" w:type="dxa"/>
            <w:bottom w:w="0" w:type="dxa"/>
            <w:right w:w="0" w:type="dxa"/>
          </w:tblCellMar>
          <w:tblLook w:val="0000"/>
        </w:tblPrEx>
        <w:trPr>
          <w:gridAfter w:val="1"/>
          <w:wAfter w:w="2142" w:type="dxa"/>
        </w:trPr>
        <w:tc>
          <w:tcPr>
            <w:tcW w:w="810" w:type="dxa"/>
            <w:gridSpan w:val="3"/>
          </w:tcPr>
          <w:p>
            <w:pPr>
              <w:pStyle w:val="DefaultParagraph"/>
              <w:rPr>
                <w:b/>
                <w:szCs w:val="21"/>
              </w:rPr>
            </w:pPr>
            <w:r>
              <w:rPr>
                <w:b/>
                <w:szCs w:val="21"/>
              </w:rPr>
              <w:t>丁</w:t>
            </w:r>
          </w:p>
        </w:tc>
        <w:tc>
          <w:tcPr>
            <w:tcW w:w="2700" w:type="dxa"/>
          </w:tcPr>
          <w:p>
            <w:pPr>
              <w:pStyle w:val="DefaultParagraph"/>
              <w:rPr>
                <w:b/>
                <w:szCs w:val="21"/>
              </w:rPr>
            </w:pPr>
            <w:r>
              <w:rPr>
                <w:b/>
                <w:szCs w:val="21"/>
              </w:rPr>
              <w:t xml:space="preserve"> 去顶芽，切口涂抹赤霉素</w:t>
            </w:r>
          </w:p>
        </w:tc>
        <w:tc>
          <w:tcPr>
            <w:tcW w:w="915" w:type="dxa"/>
          </w:tcPr>
          <w:p>
            <w:pPr>
              <w:pStyle w:val="DefaultParagraph"/>
              <w:rPr>
                <w:b/>
                <w:szCs w:val="21"/>
              </w:rPr>
            </w:pPr>
            <w:r>
              <w:rPr>
                <w:b/>
                <w:szCs w:val="21"/>
              </w:rPr>
              <w:t xml:space="preserve"> 0</w:t>
            </w:r>
          </w:p>
        </w:tc>
        <w:tc>
          <w:tcPr>
            <w:tcW w:w="915" w:type="dxa"/>
          </w:tcPr>
          <w:p>
            <w:pPr>
              <w:pStyle w:val="DefaultParagraph"/>
              <w:rPr>
                <w:b/>
                <w:szCs w:val="21"/>
              </w:rPr>
            </w:pPr>
            <w:r>
              <w:rPr>
                <w:b/>
                <w:szCs w:val="21"/>
              </w:rPr>
              <w:t xml:space="preserve">30 </w:t>
            </w:r>
          </w:p>
        </w:tc>
        <w:tc>
          <w:tcPr>
            <w:tcW w:w="915" w:type="dxa"/>
          </w:tcPr>
          <w:p>
            <w:pPr>
              <w:pStyle w:val="DefaultParagraph"/>
              <w:rPr>
                <w:b/>
                <w:szCs w:val="21"/>
              </w:rPr>
            </w:pPr>
            <w:r>
              <w:rPr>
                <w:b/>
                <w:szCs w:val="21"/>
              </w:rPr>
              <w:t xml:space="preserve">65 </w:t>
            </w:r>
          </w:p>
        </w:tc>
        <w:tc>
          <w:tcPr>
            <w:tcW w:w="915" w:type="dxa"/>
          </w:tcPr>
          <w:p>
            <w:pPr>
              <w:pStyle w:val="DefaultParagraph"/>
              <w:rPr>
                <w:b/>
                <w:szCs w:val="21"/>
              </w:rPr>
            </w:pPr>
            <w:r>
              <w:rPr>
                <w:b/>
                <w:szCs w:val="21"/>
              </w:rPr>
              <w:t xml:space="preserve">100 </w:t>
            </w:r>
          </w:p>
        </w:tc>
      </w:tr>
      <w:tr>
        <w:tblPrEx>
          <w:tblW w:w="0" w:type="auto"/>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c>
          <w:tcPr>
            <w:tcW w:w="8" w:type="dxa"/>
          </w:tcPr>
          <w:p>
            <w:pPr>
              <w:pStyle w:val="DefaultParagraph"/>
              <w:rPr>
                <w:b/>
                <w:szCs w:val="21"/>
              </w:rPr>
            </w:pPr>
            <w:r>
              <w:rPr>
                <w:b/>
                <w:szCs w:val="21"/>
              </w:rPr>
              <w:t>　</w:t>
            </w:r>
          </w:p>
        </w:tc>
        <w:tc>
          <w:tcPr>
            <w:tcW w:w="365" w:type="dxa"/>
          </w:tcPr>
          <w:p>
            <w:pPr>
              <w:pStyle w:val="DefaultParagraph"/>
              <w:rPr>
                <w:b/>
                <w:szCs w:val="21"/>
              </w:rPr>
            </w:pPr>
            <w:r>
              <w:rPr>
                <w:b/>
                <w:szCs w:val="21"/>
              </w:rPr>
              <w:t>A．</w:t>
            </w:r>
          </w:p>
        </w:tc>
        <w:tc>
          <w:tcPr>
            <w:tcW w:w="8939" w:type="dxa"/>
            <w:gridSpan w:val="7"/>
          </w:tcPr>
          <w:p>
            <w:pPr>
              <w:pStyle w:val="DefaultParagraph"/>
              <w:rPr>
                <w:b/>
                <w:szCs w:val="21"/>
              </w:rPr>
            </w:pPr>
            <w:r>
              <w:rPr>
                <w:b/>
                <w:szCs w:val="21"/>
              </w:rPr>
              <w:t>比较甲、乙可知，顶芽产生的生长素对侧芽的生长有抑制作用</w:t>
            </w:r>
          </w:p>
        </w:tc>
      </w:tr>
      <w:tr>
        <w:tblPrEx>
          <w:tblW w:w="0" w:type="auto"/>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c>
          <w:tcPr>
            <w:tcW w:w="8" w:type="dxa"/>
          </w:tcPr>
          <w:p>
            <w:pPr>
              <w:pStyle w:val="DefaultParagraph"/>
              <w:rPr>
                <w:b/>
                <w:szCs w:val="21"/>
              </w:rPr>
            </w:pPr>
            <w:r>
              <w:rPr>
                <w:b/>
                <w:szCs w:val="21"/>
              </w:rPr>
              <w:t>　</w:t>
            </w:r>
          </w:p>
        </w:tc>
        <w:tc>
          <w:tcPr>
            <w:tcW w:w="365" w:type="dxa"/>
          </w:tcPr>
          <w:p>
            <w:pPr>
              <w:pStyle w:val="DefaultParagraph"/>
              <w:rPr>
                <w:b/>
                <w:szCs w:val="21"/>
              </w:rPr>
            </w:pPr>
            <w:r>
              <w:rPr>
                <w:b/>
                <w:szCs w:val="21"/>
              </w:rPr>
              <w:t>B．</w:t>
            </w:r>
          </w:p>
        </w:tc>
        <w:tc>
          <w:tcPr>
            <w:tcW w:w="8939" w:type="dxa"/>
            <w:gridSpan w:val="7"/>
          </w:tcPr>
          <w:p>
            <w:pPr>
              <w:pStyle w:val="DefaultParagraph"/>
              <w:rPr>
                <w:b/>
                <w:szCs w:val="21"/>
              </w:rPr>
            </w:pPr>
            <w:r>
              <w:rPr>
                <w:b/>
                <w:szCs w:val="21"/>
              </w:rPr>
              <w:t>比较乙、丙可知，生长素对侧芽的生长有促进作用</w:t>
            </w:r>
          </w:p>
        </w:tc>
      </w:tr>
      <w:tr>
        <w:tblPrEx>
          <w:tblW w:w="0" w:type="auto"/>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c>
          <w:tcPr>
            <w:tcW w:w="8" w:type="dxa"/>
          </w:tcPr>
          <w:p>
            <w:pPr>
              <w:pStyle w:val="DefaultParagraph"/>
              <w:rPr>
                <w:b/>
                <w:szCs w:val="21"/>
              </w:rPr>
            </w:pPr>
            <w:r>
              <w:rPr>
                <w:b/>
                <w:szCs w:val="21"/>
              </w:rPr>
              <w:t>　</w:t>
            </w:r>
          </w:p>
        </w:tc>
        <w:tc>
          <w:tcPr>
            <w:tcW w:w="365" w:type="dxa"/>
          </w:tcPr>
          <w:p>
            <w:pPr>
              <w:pStyle w:val="DefaultParagraph"/>
              <w:rPr>
                <w:b/>
                <w:szCs w:val="21"/>
              </w:rPr>
            </w:pPr>
            <w:r>
              <w:rPr>
                <w:b/>
                <w:szCs w:val="21"/>
              </w:rPr>
              <w:t>C．</w:t>
            </w:r>
          </w:p>
        </w:tc>
        <w:tc>
          <w:tcPr>
            <w:tcW w:w="8939" w:type="dxa"/>
            <w:gridSpan w:val="7"/>
          </w:tcPr>
          <w:p>
            <w:pPr>
              <w:pStyle w:val="DefaultParagraph"/>
              <w:rPr>
                <w:b/>
                <w:szCs w:val="21"/>
              </w:rPr>
            </w:pPr>
            <w:r>
              <w:rPr>
                <w:b/>
                <w:szCs w:val="21"/>
              </w:rPr>
              <w:t>比较乙、丁可知，赤霉素对侧芽的生长有促进作用</w:t>
            </w:r>
          </w:p>
        </w:tc>
      </w:tr>
      <w:tr>
        <w:tblPrEx>
          <w:tblW w:w="0" w:type="auto"/>
          <w:tblInd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Look w:val="0000"/>
        </w:tblPrEx>
        <w:tc>
          <w:tcPr>
            <w:tcW w:w="8" w:type="dxa"/>
          </w:tcPr>
          <w:p>
            <w:pPr>
              <w:pStyle w:val="DefaultParagraph"/>
              <w:rPr>
                <w:b/>
                <w:szCs w:val="21"/>
              </w:rPr>
            </w:pPr>
            <w:r>
              <w:rPr>
                <w:b/>
                <w:szCs w:val="21"/>
              </w:rPr>
              <w:t>　</w:t>
            </w:r>
          </w:p>
        </w:tc>
        <w:tc>
          <w:tcPr>
            <w:tcW w:w="365" w:type="dxa"/>
          </w:tcPr>
          <w:p>
            <w:pPr>
              <w:pStyle w:val="DefaultParagraph"/>
              <w:rPr>
                <w:b/>
                <w:szCs w:val="21"/>
              </w:rPr>
            </w:pPr>
            <w:r>
              <w:rPr>
                <w:b/>
                <w:szCs w:val="21"/>
              </w:rPr>
              <w:t>D．</w:t>
            </w:r>
          </w:p>
        </w:tc>
        <w:tc>
          <w:tcPr>
            <w:tcW w:w="8939" w:type="dxa"/>
            <w:gridSpan w:val="7"/>
          </w:tcPr>
          <w:p>
            <w:pPr>
              <w:pStyle w:val="DefaultParagraph"/>
              <w:rPr>
                <w:b/>
                <w:szCs w:val="21"/>
              </w:rPr>
            </w:pPr>
            <w:r>
              <w:rPr>
                <w:b/>
                <w:szCs w:val="21"/>
              </w:rPr>
              <w:t>比较丙、丁可知，生长素和赤霉素对侧芽生长作用效果相同</w:t>
            </w:r>
          </w:p>
        </w:tc>
      </w:tr>
    </w:tbl>
    <w:p>
      <w:pPr>
        <w:spacing w:line="360" w:lineRule="auto"/>
        <w:rPr>
          <w:rFonts w:hint="eastAsia"/>
          <w:b/>
          <w:szCs w:val="21"/>
        </w:rPr>
      </w:pPr>
      <w:r>
        <w:rPr>
          <w:rFonts w:hint="eastAsia"/>
          <w:b/>
          <w:szCs w:val="21"/>
        </w:rPr>
        <w:t>二、非选择题（共40分）</w:t>
      </w:r>
    </w:p>
    <w:p>
      <w:pPr>
        <w:pStyle w:val="DefaultParagraph"/>
        <w:textAlignment w:val="center"/>
        <w:rPr>
          <w:b/>
          <w:szCs w:val="21"/>
        </w:rPr>
      </w:pPr>
      <w:r>
        <w:rPr>
          <w:rFonts w:hint="eastAsia"/>
          <w:b/>
          <w:szCs w:val="21"/>
        </w:rPr>
        <w:t>31．（10分）</w:t>
      </w:r>
      <w:r>
        <w:rPr>
          <w:b/>
          <w:szCs w:val="21"/>
        </w:rPr>
        <w:t>健康是人生最宝贵的财富之一，内环境稳态的维持与人体健康有密切的关系．如图是人体某组织结构示意图，据图回答：</w:t>
      </w:r>
    </w:p>
    <w:p>
      <w:pPr>
        <w:pStyle w:val="DefaultParagraph"/>
        <w:textAlignment w:val="center"/>
        <w:rPr>
          <w:rFonts w:hint="eastAsia"/>
          <w:b/>
          <w:szCs w:val="21"/>
        </w:rPr>
      </w:pPr>
      <w:r>
        <w:rPr>
          <w:b/>
          <w:szCs w:val="21"/>
        </w:rPr>
        <w:t>（1）人体内环境是指</w:t>
      </w:r>
      <w:r>
        <w:rPr>
          <w:b/>
          <w:szCs w:val="21"/>
          <w:u w:val="single"/>
        </w:rPr>
        <w:t>　　</w:t>
      </w:r>
      <w:r>
        <w:rPr>
          <w:b/>
          <w:szCs w:val="21"/>
        </w:rPr>
        <w:t>、</w:t>
      </w:r>
      <w:r>
        <w:rPr>
          <w:b/>
          <w:szCs w:val="21"/>
          <w:u w:val="single"/>
        </w:rPr>
        <w:t>　　</w:t>
      </w:r>
      <w:r>
        <w:rPr>
          <w:b/>
          <w:szCs w:val="21"/>
        </w:rPr>
        <w:t>、</w:t>
      </w:r>
      <w:r>
        <w:rPr>
          <w:b/>
          <w:szCs w:val="21"/>
          <w:u w:val="single"/>
        </w:rPr>
        <w:t>　　</w:t>
      </w:r>
      <w:r>
        <w:rPr>
          <w:b/>
          <w:szCs w:val="21"/>
        </w:rPr>
        <w:t>（填名称）</w:t>
      </w:r>
    </w:p>
    <w:p>
      <w:pPr>
        <w:pStyle w:val="DefaultParagraph"/>
        <w:textAlignment w:val="center"/>
        <w:rPr>
          <w:rFonts w:hint="eastAsia"/>
          <w:b/>
          <w:szCs w:val="21"/>
        </w:rPr>
      </w:pPr>
      <w:r>
        <w:rPr>
          <w:b/>
          <w:szCs w:val="21"/>
        </w:rPr>
        <w:t>（2）图中A细胞生活的具体内环境是</w:t>
      </w:r>
      <w:r>
        <w:rPr>
          <w:rFonts w:ascii="宋体" w:hAnsi="宋体" w:hint="eastAsia"/>
          <w:b/>
          <w:szCs w:val="21"/>
        </w:rPr>
        <w:t>[</w:t>
      </w:r>
      <w:r>
        <w:rPr>
          <w:b/>
          <w:szCs w:val="21"/>
          <w:u w:val="single"/>
        </w:rPr>
        <w:t>　　</w:t>
      </w:r>
      <w:r>
        <w:rPr>
          <w:rFonts w:ascii="宋体" w:hAnsi="宋体" w:hint="eastAsia"/>
          <w:b/>
          <w:szCs w:val="21"/>
        </w:rPr>
        <w:t>]</w:t>
      </w:r>
      <w:r>
        <w:rPr>
          <w:b/>
          <w:szCs w:val="21"/>
          <w:u w:val="single"/>
        </w:rPr>
        <w:t>　　</w:t>
      </w:r>
      <w:r>
        <w:rPr>
          <w:b/>
          <w:szCs w:val="21"/>
        </w:rPr>
        <w:t xml:space="preserve"> </w:t>
      </w:r>
    </w:p>
    <w:p>
      <w:pPr>
        <w:pStyle w:val="DefaultParagraph"/>
        <w:textAlignment w:val="center"/>
        <w:rPr>
          <w:b/>
          <w:szCs w:val="21"/>
        </w:rPr>
      </w:pPr>
      <w:r>
        <w:rPr>
          <w:b/>
          <w:szCs w:val="21"/>
        </w:rPr>
        <w:t>（</w:t>
      </w:r>
      <w:r>
        <w:rPr>
          <w:rFonts w:hint="eastAsia"/>
          <w:b/>
          <w:szCs w:val="21"/>
        </w:rPr>
        <w:t>3</w:t>
      </w:r>
      <w:r>
        <w:rPr>
          <w:b/>
          <w:szCs w:val="21"/>
        </w:rPr>
        <w:t>）血液中的氧进入细胞的途径是</w:t>
      </w:r>
      <w:r>
        <w:rPr>
          <w:b/>
          <w:szCs w:val="21"/>
          <w:u w:val="single"/>
        </w:rPr>
        <w:t>　　</w:t>
      </w:r>
      <w:r>
        <w:rPr>
          <w:b/>
          <w:szCs w:val="21"/>
        </w:rPr>
        <w:t>（用字母和箭头表示）．</w:t>
      </w:r>
    </w:p>
    <w:p>
      <w:pPr>
        <w:pStyle w:val="DefaultParagraph"/>
        <w:textAlignment w:val="center"/>
        <w:rPr>
          <w:b/>
          <w:szCs w:val="21"/>
        </w:rPr>
      </w:pPr>
      <w:r>
        <w:rPr>
          <w:b/>
          <w:szCs w:val="21"/>
        </w:rPr>
        <w:t>（</w:t>
      </w:r>
      <w:r>
        <w:rPr>
          <w:rFonts w:hint="eastAsia"/>
          <w:b/>
          <w:szCs w:val="21"/>
        </w:rPr>
        <w:t>4</w:t>
      </w:r>
      <w:r>
        <w:rPr>
          <w:b/>
          <w:szCs w:val="21"/>
        </w:rPr>
        <w:t>）如果饮水过少或吃的食物偏咸，会导致内环境的渗透压</w:t>
      </w:r>
      <w:r>
        <w:rPr>
          <w:rFonts w:hint="eastAsia"/>
          <w:b/>
          <w:szCs w:val="21"/>
          <w:u w:val="single"/>
        </w:rPr>
        <w:t>升高</w:t>
      </w:r>
      <w:r>
        <w:rPr>
          <w:b/>
          <w:szCs w:val="21"/>
        </w:rPr>
        <w:t>，但机体能通过</w:t>
      </w:r>
      <w:r>
        <w:rPr>
          <w:b/>
          <w:szCs w:val="21"/>
          <w:u w:val="single"/>
        </w:rPr>
        <w:t>　　</w:t>
      </w:r>
      <w:r>
        <w:rPr>
          <w:b/>
          <w:szCs w:val="21"/>
        </w:rPr>
        <w:t>调节，使内环境的渗透压保持相对稳定．</w:t>
      </w:r>
    </w:p>
    <w:p>
      <w:pPr>
        <w:pStyle w:val="DefaultParagraph"/>
        <w:textAlignment w:val="center"/>
        <w:rPr>
          <w:b/>
          <w:szCs w:val="21"/>
        </w:rPr>
      </w:pPr>
      <w:r>
        <w:rPr>
          <w:b/>
          <w:szCs w:val="21"/>
        </w:rPr>
        <w:t>（</w:t>
      </w:r>
      <w:r>
        <w:rPr>
          <w:rFonts w:hint="eastAsia"/>
          <w:b/>
          <w:szCs w:val="21"/>
        </w:rPr>
        <w:t>5</w:t>
      </w:r>
      <w:r>
        <w:rPr>
          <w:b/>
          <w:szCs w:val="21"/>
        </w:rPr>
        <w:t>）不吃早餐，机体处于饥饿状态，但一般情况下，体内分泌</w:t>
      </w:r>
      <w:r>
        <w:rPr>
          <w:b/>
          <w:szCs w:val="21"/>
          <w:u w:val="single"/>
        </w:rPr>
        <w:t>　　</w:t>
      </w:r>
      <w:r>
        <w:rPr>
          <w:b/>
          <w:szCs w:val="21"/>
        </w:rPr>
        <w:t>，促进</w:t>
      </w:r>
      <w:r>
        <w:rPr>
          <w:rFonts w:hint="eastAsia"/>
          <w:b/>
          <w:szCs w:val="21"/>
          <w:u w:val="single"/>
        </w:rPr>
        <w:t>肝糖原</w:t>
      </w:r>
      <w:r>
        <w:rPr>
          <w:b/>
          <w:szCs w:val="21"/>
        </w:rPr>
        <w:t>分解从而使体内的血糖仍能维持相对稳定．</w:t>
      </w:r>
    </w:p>
    <w:p>
      <w:pPr>
        <w:pStyle w:val="DefaultParagraph"/>
        <w:textAlignment w:val="center"/>
        <w:rPr>
          <w:b/>
          <w:szCs w:val="21"/>
        </w:rPr>
      </w:pPr>
      <w:r>
        <w:rPr>
          <w:b/>
          <w:szCs w:val="21"/>
        </w:rPr>
        <w:pict>
          <v:shape id="图片 617" o:spid="_x0000_i1055" type="#_x0000_t75" style="width:199.45pt;height:104.95pt;mso-position-horizontal-relative:char;mso-position-vertical-relative:line;mso-wrap-style:square" filled="f" stroked="f">
            <v:stroke linestyle="single"/>
            <v:imagedata r:id="rId34" o:title="" cropbottom="496f" cropright="262f"/>
            <v:path o:extrusionok="f"/>
            <o:lock v:ext="edit" aspectratio="t"/>
            <w10:wrap type="none"/>
            <w10:anchorlock/>
          </v:shape>
        </w:pict>
      </w:r>
    </w:p>
    <w:p>
      <w:pPr>
        <w:pStyle w:val="DefaultParagraph"/>
        <w:rPr>
          <w:b/>
          <w:szCs w:val="21"/>
        </w:rPr>
      </w:pPr>
      <w:r>
        <w:rPr>
          <w:rFonts w:hint="eastAsia"/>
          <w:b/>
          <w:szCs w:val="21"/>
        </w:rPr>
        <w:t>32．（10分）</w:t>
      </w:r>
      <w:r>
        <w:rPr>
          <w:b/>
          <w:szCs w:val="21"/>
        </w:rPr>
        <w:t>如图是体育运动对学习记忆的促进作用与蛋白质类神经营养因子（BDNF）关系的部分图解．请据图回答问题：</w:t>
      </w:r>
    </w:p>
    <w:p>
      <w:pPr>
        <w:pStyle w:val="DefaultParagraph"/>
        <w:rPr>
          <w:b/>
          <w:szCs w:val="21"/>
        </w:rPr>
      </w:pPr>
      <w:r>
        <w:rPr>
          <w:b/>
          <w:szCs w:val="21"/>
        </w:rPr>
        <w:pict>
          <v:shape id="Picture24" o:spid="_x0000_i1056" type="#_x0000_t75" style="width:270.53pt;height:77.92pt;mso-position-horizontal-relative:page;mso-position-vertical-relative:page;mso-wrap-style:square" filled="f" stroked="f">
            <v:stroke linestyle="single"/>
            <v:imagedata r:id="rId35" o:title=""/>
            <v:path o:extrusionok="f"/>
            <o:lock v:ext="edit" aspectratio="t"/>
          </v:shape>
        </w:pict>
      </w:r>
    </w:p>
    <w:p>
      <w:pPr>
        <w:pStyle w:val="DefaultParagraph"/>
        <w:rPr>
          <w:b/>
          <w:szCs w:val="21"/>
        </w:rPr>
      </w:pPr>
      <w:r>
        <w:rPr>
          <w:b/>
          <w:szCs w:val="21"/>
        </w:rPr>
        <w:t>（1）突触小泡中的b物质进入突触间隙的方式依赖于</w:t>
      </w:r>
      <w:r>
        <w:rPr>
          <w:rFonts w:hint="eastAsia"/>
          <w:b/>
          <w:szCs w:val="21"/>
          <w:u w:val="single"/>
        </w:rPr>
        <w:t xml:space="preserve">                 </w:t>
      </w:r>
      <w:r>
        <w:rPr>
          <w:b/>
          <w:szCs w:val="21"/>
          <w:u w:val="single"/>
        </w:rPr>
        <w:t>　</w:t>
      </w:r>
      <w:r>
        <w:rPr>
          <w:b/>
          <w:szCs w:val="21"/>
        </w:rPr>
        <w:t>．</w:t>
      </w:r>
    </w:p>
    <w:p>
      <w:pPr>
        <w:pStyle w:val="DefaultParagraph"/>
        <w:rPr>
          <w:b/>
          <w:szCs w:val="21"/>
        </w:rPr>
      </w:pPr>
      <w:r>
        <w:rPr>
          <w:b/>
          <w:szCs w:val="21"/>
        </w:rPr>
        <w:t>（2）请在右图画出b物质与AMPA结合后兴奋传导至d处时，细胞膜内外电荷的分布情况，与</w:t>
      </w:r>
      <w:r>
        <w:rPr>
          <w:b/>
          <w:szCs w:val="21"/>
          <w:u w:val="single"/>
        </w:rPr>
        <w:t>　　</w:t>
      </w:r>
      <w:r>
        <w:rPr>
          <w:b/>
          <w:szCs w:val="21"/>
        </w:rPr>
        <w:t>离子的</w:t>
      </w:r>
      <w:r>
        <w:rPr>
          <w:b/>
          <w:szCs w:val="21"/>
          <w:u w:val="single"/>
        </w:rPr>
        <w:t>　　</w:t>
      </w:r>
      <w:r>
        <w:rPr>
          <w:b/>
          <w:szCs w:val="21"/>
        </w:rPr>
        <w:t>（填“外流”/“内流”）相关</w:t>
      </w:r>
    </w:p>
    <w:p>
      <w:pPr>
        <w:pStyle w:val="DefaultParagraph"/>
        <w:rPr>
          <w:rFonts w:hint="eastAsia"/>
          <w:b/>
          <w:szCs w:val="21"/>
        </w:rPr>
      </w:pPr>
      <w:r>
        <w:rPr>
          <w:b/>
          <w:szCs w:val="21"/>
        </w:rPr>
        <w:t>（3）据图可知，BDNF具有</w:t>
      </w:r>
      <w:r>
        <w:rPr>
          <w:b/>
          <w:szCs w:val="21"/>
          <w:u w:val="single"/>
        </w:rPr>
        <w:t>　</w:t>
      </w:r>
      <w:r>
        <w:rPr>
          <w:rFonts w:hint="eastAsia"/>
          <w:b/>
          <w:szCs w:val="21"/>
          <w:u w:val="single"/>
        </w:rPr>
        <w:t xml:space="preserve">          </w:t>
      </w:r>
      <w:r>
        <w:rPr>
          <w:b/>
          <w:szCs w:val="21"/>
          <w:u w:val="single"/>
        </w:rPr>
        <w:t>　</w:t>
      </w:r>
      <w:r>
        <w:rPr>
          <w:b/>
          <w:szCs w:val="21"/>
        </w:rPr>
        <w:t>和激活突触后膜上相应受体的作用，从而促进兴奋在突触处的传递．</w:t>
      </w:r>
    </w:p>
    <w:p>
      <w:pPr>
        <w:pStyle w:val="DefaultParagraph"/>
        <w:rPr>
          <w:b/>
          <w:szCs w:val="21"/>
        </w:rPr>
      </w:pPr>
      <w:r>
        <w:rPr>
          <w:b/>
          <w:szCs w:val="21"/>
        </w:rPr>
        <w:t>（</w:t>
      </w:r>
      <w:r>
        <w:rPr>
          <w:rFonts w:hint="eastAsia"/>
          <w:b/>
          <w:szCs w:val="21"/>
        </w:rPr>
        <w:t>4</w:t>
      </w:r>
      <w:r>
        <w:rPr>
          <w:b/>
          <w:szCs w:val="21"/>
        </w:rPr>
        <w:t>）若向大鼠脑室内注射抗BDNF的抗体，将导致突触间隙内b物质的含量</w:t>
      </w:r>
      <w:r>
        <w:rPr>
          <w:b/>
          <w:szCs w:val="21"/>
          <w:u w:val="single"/>
        </w:rPr>
        <w:t>　</w:t>
      </w:r>
      <w:r>
        <w:rPr>
          <w:rFonts w:hint="eastAsia"/>
          <w:b/>
          <w:szCs w:val="21"/>
          <w:u w:val="single"/>
        </w:rPr>
        <w:t xml:space="preserve">  </w:t>
      </w:r>
      <w:r>
        <w:rPr>
          <w:b/>
          <w:szCs w:val="21"/>
          <w:u w:val="single"/>
        </w:rPr>
        <w:t>　</w:t>
      </w:r>
      <w:r>
        <w:rPr>
          <w:b/>
          <w:szCs w:val="21"/>
        </w:rPr>
        <w:t>（填“增加”/“不变”/“减少”）．</w:t>
      </w:r>
    </w:p>
    <w:p>
      <w:pPr>
        <w:pStyle w:val="DefaultParagraph"/>
        <w:rPr>
          <w:b/>
          <w:szCs w:val="21"/>
        </w:rPr>
      </w:pPr>
      <w:r>
        <w:rPr>
          <w:b/>
          <w:szCs w:val="21"/>
        </w:rPr>
        <w:t>（</w:t>
      </w:r>
      <w:r>
        <w:rPr>
          <w:rFonts w:hint="eastAsia"/>
          <w:b/>
          <w:szCs w:val="21"/>
        </w:rPr>
        <w:t>5</w:t>
      </w:r>
      <w:r>
        <w:rPr>
          <w:b/>
          <w:szCs w:val="21"/>
        </w:rPr>
        <w:t>）图中c是突触蛋白，它在海马区的密度和分布可间接反映突触的数量和分布情况．有实验表明，水迷宫训练后大鼠海马区突触蛋白表达明显增强，大鼠学习记忆受损后突触蛋白表达水平下降．由此推测，长期记忆可能与</w:t>
      </w:r>
      <w:r>
        <w:rPr>
          <w:b/>
          <w:szCs w:val="21"/>
          <w:u w:val="single"/>
        </w:rPr>
        <w:t>　</w:t>
      </w:r>
      <w:r>
        <w:rPr>
          <w:rFonts w:hint="eastAsia"/>
          <w:b/>
          <w:szCs w:val="21"/>
          <w:u w:val="single"/>
        </w:rPr>
        <w:t xml:space="preserve">       </w:t>
      </w:r>
      <w:r>
        <w:rPr>
          <w:b/>
          <w:szCs w:val="21"/>
          <w:u w:val="single"/>
        </w:rPr>
        <w:t>　</w:t>
      </w:r>
      <w:r>
        <w:rPr>
          <w:b/>
          <w:szCs w:val="21"/>
        </w:rPr>
        <w:t>的建立有关．</w:t>
      </w:r>
    </w:p>
    <w:p>
      <w:pPr>
        <w:pStyle w:val="DefaultParagraph"/>
        <w:rPr>
          <w:b/>
          <w:szCs w:val="21"/>
        </w:rPr>
      </w:pPr>
    </w:p>
    <w:p>
      <w:pPr>
        <w:pStyle w:val="DefaultParagraph"/>
        <w:rPr>
          <w:b/>
          <w:szCs w:val="21"/>
        </w:rPr>
      </w:pPr>
      <w:r>
        <w:rPr>
          <w:rFonts w:hint="eastAsia"/>
          <w:b/>
          <w:szCs w:val="21"/>
        </w:rPr>
        <w:t>33．</w:t>
      </w:r>
      <w:r>
        <w:rPr>
          <w:rFonts w:ascii="宋体" w:hAnsi="宋体"/>
          <w:b/>
          <w:kern w:val="0"/>
          <w:szCs w:val="21"/>
        </w:rPr>
        <w:t>（1</w:t>
      </w:r>
      <w:r>
        <w:rPr>
          <w:rFonts w:ascii="宋体" w:hAnsi="宋体" w:hint="eastAsia"/>
          <w:b/>
          <w:kern w:val="0"/>
          <w:szCs w:val="21"/>
        </w:rPr>
        <w:t>0</w:t>
      </w:r>
      <w:r>
        <w:rPr>
          <w:rFonts w:ascii="宋体" w:hAnsi="宋体"/>
          <w:b/>
          <w:kern w:val="0"/>
          <w:szCs w:val="21"/>
        </w:rPr>
        <w:t>分）</w:t>
      </w:r>
      <w:r>
        <w:rPr>
          <w:b/>
          <w:szCs w:val="21"/>
        </w:rPr>
        <w:drawing>
          <wp:inline>
            <wp:extent cx="254000" cy="254000"/>
            <wp:docPr id="10003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492979" name=""/>
                    <pic:cNvPicPr>
                      <a:picLocks noChangeAspect="1"/>
                    </pic:cNvPicPr>
                  </pic:nvPicPr>
                  <pic:blipFill>
                    <a:blip xmlns:r="http://schemas.openxmlformats.org/officeDocument/2006/relationships" r:embed="rId36"/>
                    <a:stretch>
                      <a:fillRect/>
                    </a:stretch>
                  </pic:blipFill>
                  <pic:spPr>
                    <a:xfrm>
                      <a:off x="0" y="0"/>
                      <a:ext cx="254000" cy="254000"/>
                    </a:xfrm>
                    <a:prstGeom prst="rect">
                      <a:avLst/>
                    </a:prstGeom>
                  </pic:spPr>
                </pic:pic>
              </a:graphicData>
            </a:graphic>
          </wp:inline>
        </w:drawing>
      </w:r>
      <w:r>
        <w:rPr>
          <w:b/>
          <w:szCs w:val="21"/>
        </w:rPr>
        <w:t>2013年初以来，中国发生大范围持续雾霾天气．据统计，受影响面积约占国土面积的1/4，受影响人口约6亿人．雾霾天，空气中的细菌、过敏原和有害物质使很多人生病，一时间医院人满为患．请结合图示，回答下列问题：</w:t>
      </w:r>
    </w:p>
    <w:p>
      <w:pPr>
        <w:pStyle w:val="DefaultParagraph"/>
        <w:rPr>
          <w:b/>
          <w:szCs w:val="21"/>
        </w:rPr>
      </w:pPr>
      <w:r>
        <w:rPr>
          <w:b/>
          <w:szCs w:val="21"/>
        </w:rPr>
        <w:pict>
          <v:shape id="Picture24" o:spid="_x0000_i1057" type="#_x0000_t75" style="width:303.8pt;height:85.5pt;mso-position-horizontal-relative:page;mso-position-vertical-relative:page;mso-wrap-style:square" filled="f" stroked="f">
            <v:stroke linestyle="single"/>
            <v:imagedata r:id="rId37" o:title=""/>
            <v:path o:extrusionok="f"/>
            <o:lock v:ext="edit" aspectratio="t"/>
          </v:shape>
        </w:pict>
      </w:r>
    </w:p>
    <w:p>
      <w:pPr>
        <w:pStyle w:val="DefaultParagraph"/>
        <w:rPr>
          <w:b/>
          <w:szCs w:val="21"/>
        </w:rPr>
      </w:pPr>
      <w:r>
        <w:rPr>
          <w:b/>
          <w:szCs w:val="21"/>
        </w:rPr>
        <w:t>（1）患者中有很多是12岁以下的儿童，症状多为胸痛、咳嗽，严重的还会有发热症状，这是因为儿童呼吸道黏膜的过滤能力有限，导致病原体突破了人体的</w:t>
      </w:r>
      <w:r>
        <w:rPr>
          <w:rFonts w:hint="eastAsia"/>
          <w:b/>
          <w:szCs w:val="21"/>
        </w:rPr>
        <w:t>第一道</w:t>
      </w:r>
      <w:r>
        <w:rPr>
          <w:b/>
          <w:szCs w:val="21"/>
        </w:rPr>
        <w:t>防线，除了这种免疫反应，人体还可以通过如图所示的</w:t>
      </w:r>
      <w:r>
        <w:rPr>
          <w:b/>
          <w:szCs w:val="21"/>
          <w:u w:val="single"/>
        </w:rPr>
        <w:t>　</w:t>
      </w:r>
      <w:r>
        <w:rPr>
          <w:rFonts w:hint="eastAsia"/>
          <w:b/>
          <w:szCs w:val="21"/>
          <w:u w:val="single"/>
        </w:rPr>
        <w:t xml:space="preserve">        </w:t>
      </w:r>
      <w:r>
        <w:rPr>
          <w:b/>
          <w:szCs w:val="21"/>
          <w:u w:val="single"/>
        </w:rPr>
        <w:t>　</w:t>
      </w:r>
      <w:r>
        <w:rPr>
          <w:b/>
          <w:szCs w:val="21"/>
        </w:rPr>
        <w:t>反应清除病原体．</w:t>
      </w:r>
    </w:p>
    <w:p>
      <w:pPr>
        <w:pStyle w:val="DefaultParagraph"/>
        <w:rPr>
          <w:b/>
          <w:szCs w:val="21"/>
        </w:rPr>
      </w:pPr>
      <w:r>
        <w:rPr>
          <w:b/>
          <w:szCs w:val="21"/>
        </w:rPr>
        <w:t>（2）造血干细胞在胸腺和骨髓内转变为a、b、c等细胞的过程称为</w:t>
      </w:r>
      <w:r>
        <w:rPr>
          <w:b/>
          <w:szCs w:val="21"/>
          <w:u w:val="single"/>
        </w:rPr>
        <w:t>　</w:t>
      </w:r>
      <w:r>
        <w:rPr>
          <w:rFonts w:hint="eastAsia"/>
          <w:b/>
          <w:szCs w:val="21"/>
          <w:u w:val="single"/>
        </w:rPr>
        <w:t xml:space="preserve">     </w:t>
      </w:r>
      <w:r>
        <w:rPr>
          <w:b/>
          <w:szCs w:val="21"/>
          <w:u w:val="single"/>
        </w:rPr>
        <w:t>　</w:t>
      </w:r>
      <w:r>
        <w:rPr>
          <w:b/>
          <w:szCs w:val="21"/>
        </w:rPr>
        <w:t>．</w:t>
      </w:r>
    </w:p>
    <w:p>
      <w:pPr>
        <w:pStyle w:val="DefaultParagraph"/>
        <w:rPr>
          <w:b/>
          <w:szCs w:val="21"/>
        </w:rPr>
      </w:pPr>
      <w:r>
        <w:rPr>
          <w:b/>
          <w:szCs w:val="21"/>
        </w:rPr>
        <w:t>（3）过敏反应的发生是由于图示中Y吸附在组织细胞的表面，当</w:t>
      </w:r>
      <w:r>
        <w:rPr>
          <w:b/>
          <w:szCs w:val="21"/>
          <w:u w:val="single"/>
        </w:rPr>
        <w:t>　</w:t>
      </w:r>
      <w:r>
        <w:rPr>
          <w:rFonts w:hint="eastAsia"/>
          <w:b/>
          <w:szCs w:val="21"/>
          <w:u w:val="single"/>
        </w:rPr>
        <w:t xml:space="preserve">        </w:t>
      </w:r>
      <w:r>
        <w:rPr>
          <w:b/>
          <w:szCs w:val="21"/>
          <w:u w:val="single"/>
        </w:rPr>
        <w:t>　</w:t>
      </w:r>
      <w:r>
        <w:rPr>
          <w:b/>
          <w:szCs w:val="21"/>
        </w:rPr>
        <w:t>再次进入机体时引起的不适症状．</w:t>
      </w:r>
    </w:p>
    <w:p>
      <w:pPr>
        <w:pStyle w:val="DefaultParagraph"/>
        <w:rPr>
          <w:b/>
          <w:szCs w:val="21"/>
        </w:rPr>
      </w:pPr>
      <w:r>
        <w:rPr>
          <w:b/>
          <w:szCs w:val="21"/>
        </w:rPr>
        <w:t>（4）切除了胸腺的小鼠常被用于研究器官移植时的受体，原因是缺少图示中的</w:t>
      </w:r>
      <w:r>
        <w:rPr>
          <w:b/>
          <w:szCs w:val="21"/>
          <w:u w:val="single"/>
        </w:rPr>
        <w:t>　</w:t>
      </w:r>
      <w:r>
        <w:rPr>
          <w:rFonts w:hint="eastAsia"/>
          <w:b/>
          <w:szCs w:val="21"/>
          <w:u w:val="single"/>
        </w:rPr>
        <w:t xml:space="preserve">  </w:t>
      </w:r>
      <w:r>
        <w:rPr>
          <w:b/>
          <w:szCs w:val="21"/>
          <w:u w:val="single"/>
        </w:rPr>
        <w:t>　</w:t>
      </w:r>
      <w:r>
        <w:rPr>
          <w:b/>
          <w:szCs w:val="21"/>
        </w:rPr>
        <w:t>（用图中字母作答），减少了免疫排斥反应．</w:t>
      </w:r>
    </w:p>
    <w:p>
      <w:pPr>
        <w:pStyle w:val="DefaultParagraph"/>
        <w:rPr>
          <w:rFonts w:hint="eastAsia"/>
          <w:b/>
          <w:szCs w:val="21"/>
        </w:rPr>
      </w:pPr>
      <w:r>
        <w:rPr>
          <w:b/>
          <w:szCs w:val="21"/>
        </w:rPr>
        <w:t>（5）患者严重时出现的发热症状如果长期得不到缓解，会对机体造成严重的伤害．人体的体温调节中枢位于</w:t>
      </w:r>
      <w:r>
        <w:rPr>
          <w:b/>
          <w:szCs w:val="21"/>
          <w:u w:val="single"/>
        </w:rPr>
        <w:t>　</w:t>
      </w:r>
      <w:r>
        <w:rPr>
          <w:rFonts w:hint="eastAsia"/>
          <w:b/>
          <w:szCs w:val="21"/>
          <w:u w:val="single"/>
        </w:rPr>
        <w:t xml:space="preserve">     </w:t>
      </w:r>
    </w:p>
    <w:p>
      <w:pPr>
        <w:pStyle w:val="DefaultParagraph"/>
        <w:rPr>
          <w:b/>
          <w:szCs w:val="21"/>
        </w:rPr>
      </w:pPr>
      <w:r>
        <w:rPr>
          <w:rFonts w:hint="eastAsia"/>
          <w:b/>
          <w:szCs w:val="21"/>
        </w:rPr>
        <w:t>34.</w:t>
      </w:r>
      <w:r>
        <w:rPr>
          <w:rFonts w:ascii="宋体" w:hAnsi="宋体"/>
          <w:b/>
          <w:kern w:val="0"/>
          <w:szCs w:val="21"/>
        </w:rPr>
        <w:t xml:space="preserve"> （1</w:t>
      </w:r>
      <w:r>
        <w:rPr>
          <w:rFonts w:ascii="宋体" w:hAnsi="宋体" w:hint="eastAsia"/>
          <w:b/>
          <w:kern w:val="0"/>
          <w:szCs w:val="21"/>
        </w:rPr>
        <w:t>0</w:t>
      </w:r>
      <w:r>
        <w:rPr>
          <w:rFonts w:ascii="宋体" w:hAnsi="宋体"/>
          <w:b/>
          <w:kern w:val="0"/>
          <w:szCs w:val="21"/>
        </w:rPr>
        <w:t>分）</w:t>
      </w:r>
      <w:r>
        <w:rPr>
          <w:b/>
          <w:szCs w:val="21"/>
        </w:rPr>
        <w:t xml:space="preserve"> 胰岛素是一种蛋白质激素，由胰脏内的胰岛B细胞分泌．胰岛素参与调节糖代谢，维持血糖平衡，可用于治疗糖尿病．请回答下列有关胰岛素的问题：</w:t>
      </w:r>
    </w:p>
    <w:p>
      <w:pPr>
        <w:pStyle w:val="DefaultParagraph"/>
        <w:rPr>
          <w:b/>
          <w:szCs w:val="21"/>
        </w:rPr>
      </w:pPr>
      <w:r>
        <w:rPr>
          <w:b/>
          <w:szCs w:val="21"/>
        </w:rPr>
        <w:t>某兴趣小组的同学以小鼠为实验材料，以小鼠活动状况为观察指标，设计实验验证胰岛素具有降低血糖的作用．以下为同学们的实验设计方案，请回答相关问题：</w:t>
      </w:r>
    </w:p>
    <w:p>
      <w:pPr>
        <w:pStyle w:val="DefaultParagraph"/>
        <w:rPr>
          <w:b/>
          <w:szCs w:val="21"/>
        </w:rPr>
      </w:pPr>
      <w:r>
        <w:rPr>
          <w:b/>
          <w:szCs w:val="21"/>
        </w:rPr>
        <w:t>（1）实验原理</w:t>
      </w:r>
    </w:p>
    <w:p>
      <w:pPr>
        <w:pStyle w:val="DefaultParagraph"/>
        <w:rPr>
          <w:b/>
          <w:szCs w:val="21"/>
        </w:rPr>
      </w:pPr>
      <w:r>
        <w:rPr>
          <w:b/>
          <w:szCs w:val="21"/>
        </w:rPr>
        <w:t>胰岛素具有降低血糖的仵用．体内胰岛素含量过高时，引起血糖下降，机体出现活动减慢，甚至昏迷等低血糖症状，此症状可以通过补充葡萄糖溶液得到缓解．</w:t>
      </w:r>
    </w:p>
    <w:p>
      <w:pPr>
        <w:pStyle w:val="DefaultParagraph"/>
        <w:rPr>
          <w:b/>
          <w:szCs w:val="21"/>
        </w:rPr>
      </w:pPr>
      <w:r>
        <w:rPr>
          <w:b/>
          <w:szCs w:val="21"/>
        </w:rPr>
        <w:t>（</w:t>
      </w:r>
      <w:r>
        <w:rPr>
          <w:rFonts w:hint="eastAsia"/>
          <w:b/>
          <w:szCs w:val="21"/>
        </w:rPr>
        <w:t>2</w:t>
      </w:r>
      <w:r>
        <w:rPr>
          <w:b/>
          <w:szCs w:val="21"/>
        </w:rPr>
        <w:t>）实验步骤</w:t>
      </w:r>
    </w:p>
    <w:p>
      <w:pPr>
        <w:pStyle w:val="DefaultParagraph"/>
        <w:rPr>
          <w:b/>
          <w:szCs w:val="21"/>
        </w:rPr>
      </w:pPr>
      <w:r>
        <w:rPr>
          <w:b/>
          <w:szCs w:val="21"/>
        </w:rPr>
        <w:t>A、将正常的小鼠随机分成A、B两组，观察并记录小鼠活动状况；</w:t>
      </w:r>
    </w:p>
    <w:p>
      <w:pPr>
        <w:pStyle w:val="DefaultParagraph"/>
        <w:rPr>
          <w:b/>
          <w:szCs w:val="21"/>
        </w:rPr>
      </w:pPr>
      <w:r>
        <w:rPr>
          <w:b/>
          <w:szCs w:val="21"/>
        </w:rPr>
        <w:t>b、A组小鼠注射适量①</w:t>
      </w:r>
      <w:r>
        <w:rPr>
          <w:rFonts w:hint="eastAsia"/>
          <w:b/>
          <w:szCs w:val="21"/>
        </w:rPr>
        <w:t xml:space="preserve"> </w:t>
      </w:r>
      <w:r>
        <w:rPr>
          <w:b/>
          <w:szCs w:val="21"/>
          <w:u w:val="single"/>
        </w:rPr>
        <w:t>　</w:t>
      </w:r>
      <w:r>
        <w:rPr>
          <w:rFonts w:hint="eastAsia"/>
          <w:b/>
          <w:szCs w:val="21"/>
          <w:u w:val="single"/>
        </w:rPr>
        <w:t xml:space="preserve">      </w:t>
      </w:r>
      <w:r>
        <w:rPr>
          <w:b/>
          <w:szCs w:val="21"/>
        </w:rPr>
        <w:t>溶液，B组小鼠注射等量的生理盐水．然后在适宜且相同的条件下培养，观察并记录小鼠活动状况；</w:t>
      </w:r>
    </w:p>
    <w:p>
      <w:pPr>
        <w:pStyle w:val="DefaultParagraph"/>
        <w:rPr>
          <w:b/>
          <w:szCs w:val="21"/>
        </w:rPr>
      </w:pPr>
      <w:r>
        <w:rPr>
          <w:b/>
          <w:szCs w:val="21"/>
        </w:rPr>
        <w:t>C、A、B两组小鼠注射等量的②</w:t>
      </w:r>
      <w:r>
        <w:rPr>
          <w:b/>
          <w:szCs w:val="21"/>
          <w:u w:val="single"/>
        </w:rPr>
        <w:t>　</w:t>
      </w:r>
      <w:r>
        <w:rPr>
          <w:rFonts w:hint="eastAsia"/>
          <w:b/>
          <w:szCs w:val="21"/>
          <w:u w:val="single"/>
        </w:rPr>
        <w:t xml:space="preserve">   </w:t>
      </w:r>
      <w:r>
        <w:rPr>
          <w:b/>
          <w:szCs w:val="21"/>
          <w:u w:val="single"/>
        </w:rPr>
        <w:t>　</w:t>
      </w:r>
      <w:r>
        <w:rPr>
          <w:b/>
          <w:szCs w:val="21"/>
        </w:rPr>
        <w:t>溶液，观察并记录小鼠活动状况．</w:t>
      </w:r>
    </w:p>
    <w:p>
      <w:pPr>
        <w:pStyle w:val="DefaultParagraph"/>
        <w:rPr>
          <w:b/>
          <w:szCs w:val="21"/>
        </w:rPr>
      </w:pPr>
      <w:r>
        <w:rPr>
          <w:b/>
          <w:szCs w:val="21"/>
        </w:rPr>
        <w:t>（</w:t>
      </w:r>
      <w:r>
        <w:rPr>
          <w:rFonts w:hint="eastAsia"/>
          <w:b/>
          <w:szCs w:val="21"/>
        </w:rPr>
        <w:t>3</w:t>
      </w:r>
      <w:r>
        <w:rPr>
          <w:b/>
          <w:szCs w:val="21"/>
        </w:rPr>
        <w:t>）③实验现象</w:t>
      </w:r>
    </w:p>
    <w:p>
      <w:pPr>
        <w:pStyle w:val="DefaultParagraph"/>
        <w:rPr>
          <w:rFonts w:hint="eastAsia"/>
          <w:b/>
          <w:szCs w:val="21"/>
        </w:rPr>
      </w:pPr>
      <w:r>
        <w:rPr>
          <w:b/>
          <w:szCs w:val="21"/>
        </w:rPr>
        <w:t>D、实验步骤b中发现A组小鼠出现四肢无力、活动减少、甚至昏迷等低血糖症状</w:t>
      </w:r>
    </w:p>
    <w:p>
      <w:pPr>
        <w:pStyle w:val="DefaultParagraph"/>
        <w:rPr>
          <w:b/>
          <w:szCs w:val="21"/>
        </w:rPr>
      </w:pPr>
      <w:r>
        <w:rPr>
          <w:b/>
          <w:szCs w:val="21"/>
        </w:rPr>
        <w:t>E、实验步骤c中A组小鼠活动情况是③</w:t>
      </w:r>
      <w:r>
        <w:rPr>
          <w:b/>
          <w:szCs w:val="21"/>
          <w:u w:val="single"/>
        </w:rPr>
        <w:t>　</w:t>
      </w:r>
      <w:r>
        <w:rPr>
          <w:rFonts w:hint="eastAsia"/>
          <w:b/>
          <w:szCs w:val="21"/>
          <w:u w:val="single"/>
        </w:rPr>
        <w:t xml:space="preserve">                                    </w:t>
      </w:r>
      <w:r>
        <w:rPr>
          <w:b/>
          <w:szCs w:val="21"/>
          <w:u w:val="single"/>
        </w:rPr>
        <w:t>　</w:t>
      </w:r>
    </w:p>
    <w:p>
      <w:pPr>
        <w:pStyle w:val="DefaultParagraph"/>
        <w:rPr>
          <w:b/>
          <w:szCs w:val="21"/>
        </w:rPr>
      </w:pPr>
      <w:r>
        <w:rPr>
          <w:b/>
          <w:szCs w:val="21"/>
        </w:rPr>
        <w:t>（</w:t>
      </w:r>
      <w:r>
        <w:rPr>
          <w:rFonts w:hint="eastAsia"/>
          <w:b/>
          <w:szCs w:val="21"/>
        </w:rPr>
        <w:t>4</w:t>
      </w:r>
      <w:r>
        <w:rPr>
          <w:b/>
          <w:szCs w:val="21"/>
        </w:rPr>
        <w:t>）实验结论</w:t>
      </w:r>
    </w:p>
    <w:p>
      <w:pPr>
        <w:pStyle w:val="DefaultParagraph"/>
        <w:rPr>
          <w:b/>
          <w:szCs w:val="21"/>
        </w:rPr>
      </w:pPr>
      <w:r>
        <w:rPr>
          <w:b/>
          <w:szCs w:val="21"/>
        </w:rPr>
        <w:t>胰岛素具有降低血糖的作用．</w:t>
      </w:r>
    </w:p>
    <w:p>
      <w:pPr>
        <w:pStyle w:val="DefaultParagraph"/>
        <w:rPr>
          <w:b/>
          <w:szCs w:val="21"/>
        </w:rPr>
      </w:pPr>
      <w:r>
        <w:rPr>
          <w:b/>
          <w:szCs w:val="21"/>
        </w:rPr>
        <w:t>（</w:t>
      </w:r>
      <w:r>
        <w:rPr>
          <w:rFonts w:hint="eastAsia"/>
          <w:b/>
          <w:szCs w:val="21"/>
        </w:rPr>
        <w:t>5</w:t>
      </w:r>
      <w:r>
        <w:rPr>
          <w:b/>
          <w:szCs w:val="21"/>
        </w:rPr>
        <w:t>）该实验过程中，B组小鼠的作用是④</w:t>
      </w:r>
      <w:r>
        <w:rPr>
          <w:rFonts w:hint="eastAsia"/>
          <w:b/>
          <w:szCs w:val="21"/>
          <w:u w:val="single"/>
        </w:rPr>
        <w:t xml:space="preserve">         </w:t>
      </w:r>
      <w:r>
        <w:rPr>
          <w:b/>
          <w:szCs w:val="21"/>
          <w:u w:val="single"/>
        </w:rPr>
        <w:t>　</w:t>
      </w:r>
      <w:r>
        <w:rPr>
          <w:b/>
          <w:szCs w:val="21"/>
        </w:rPr>
        <w:t>，每组小鼠在实验步骤中每﹣步都要观察记录活动状况，这样前后就形成了⑤</w:t>
      </w:r>
      <w:r>
        <w:rPr>
          <w:b/>
          <w:szCs w:val="21"/>
          <w:u w:val="single"/>
        </w:rPr>
        <w:t>　</w:t>
      </w:r>
      <w:r>
        <w:rPr>
          <w:rFonts w:hint="eastAsia"/>
          <w:b/>
          <w:szCs w:val="21"/>
          <w:u w:val="single"/>
        </w:rPr>
        <w:t xml:space="preserve">         </w:t>
      </w:r>
      <w:r>
        <w:rPr>
          <w:b/>
          <w:szCs w:val="21"/>
          <w:u w:val="single"/>
        </w:rPr>
        <w:t>　</w:t>
      </w:r>
      <w:r>
        <w:rPr>
          <w:b/>
          <w:szCs w:val="21"/>
        </w:rPr>
        <w:t>．</w:t>
      </w:r>
    </w:p>
    <w:p>
      <w:pPr>
        <w:adjustRightInd w:val="0"/>
        <w:spacing w:line="360" w:lineRule="auto"/>
        <w:rPr>
          <w:rFonts w:ascii="宋体" w:hAnsi="宋体" w:hint="eastAsia"/>
          <w:b/>
          <w:szCs w:val="21"/>
        </w:rPr>
      </w:pPr>
    </w:p>
    <w:p>
      <w:pPr>
        <w:spacing w:line="360" w:lineRule="auto"/>
        <w:jc w:val="both"/>
        <w:rPr>
          <w:rFonts w:hint="eastAsia"/>
          <w:b/>
          <w:sz w:val="28"/>
          <w:szCs w:val="28"/>
        </w:rPr>
      </w:pPr>
    </w:p>
    <w:p>
      <w:pPr>
        <w:spacing w:line="360" w:lineRule="auto"/>
        <w:jc w:val="both"/>
        <w:rPr>
          <w:rFonts w:hint="eastAsia"/>
          <w:b/>
          <w:sz w:val="28"/>
          <w:szCs w:val="28"/>
        </w:rPr>
      </w:pPr>
    </w:p>
    <w:p>
      <w:pPr>
        <w:spacing w:line="360" w:lineRule="auto"/>
        <w:jc w:val="both"/>
        <w:rPr>
          <w:rFonts w:hint="eastAsia"/>
          <w:b/>
          <w:sz w:val="28"/>
          <w:szCs w:val="28"/>
        </w:rPr>
      </w:pPr>
    </w:p>
    <w:p>
      <w:pPr>
        <w:spacing w:line="360" w:lineRule="auto"/>
        <w:jc w:val="both"/>
        <w:rPr>
          <w:rFonts w:hint="eastAsia"/>
          <w:b/>
          <w:sz w:val="28"/>
          <w:szCs w:val="28"/>
        </w:rPr>
      </w:pPr>
    </w:p>
    <w:p>
      <w:pPr>
        <w:spacing w:line="360" w:lineRule="auto"/>
        <w:jc w:val="both"/>
        <w:rPr>
          <w:rFonts w:hint="eastAsia"/>
          <w:b/>
          <w:sz w:val="28"/>
          <w:szCs w:val="28"/>
        </w:rPr>
      </w:pPr>
    </w:p>
    <w:p>
      <w:pPr>
        <w:spacing w:line="360" w:lineRule="auto"/>
        <w:jc w:val="both"/>
        <w:rPr>
          <w:rFonts w:hint="eastAsia"/>
          <w:b/>
          <w:sz w:val="28"/>
          <w:szCs w:val="28"/>
        </w:rPr>
      </w:pPr>
    </w:p>
    <w:p>
      <w:pPr>
        <w:spacing w:line="360" w:lineRule="auto"/>
        <w:jc w:val="both"/>
        <w:rPr>
          <w:rFonts w:hint="eastAsia"/>
          <w:b/>
          <w:sz w:val="28"/>
          <w:szCs w:val="28"/>
        </w:rPr>
      </w:pPr>
    </w:p>
    <w:p>
      <w:pPr>
        <w:spacing w:line="360" w:lineRule="auto"/>
        <w:jc w:val="both"/>
        <w:rPr>
          <w:rFonts w:hint="eastAsia"/>
          <w:b/>
          <w:sz w:val="28"/>
          <w:szCs w:val="28"/>
        </w:rPr>
      </w:pPr>
    </w:p>
    <w:p>
      <w:pPr>
        <w:spacing w:line="360" w:lineRule="auto"/>
        <w:jc w:val="both"/>
        <w:rPr>
          <w:rFonts w:hint="eastAsia"/>
          <w:b/>
          <w:sz w:val="28"/>
          <w:szCs w:val="28"/>
        </w:rPr>
      </w:pPr>
    </w:p>
    <w:p>
      <w:pPr>
        <w:spacing w:line="360" w:lineRule="auto"/>
        <w:jc w:val="both"/>
        <w:rPr>
          <w:rFonts w:hint="eastAsia"/>
          <w:b/>
          <w:sz w:val="28"/>
          <w:szCs w:val="28"/>
        </w:rPr>
      </w:pPr>
    </w:p>
    <w:p>
      <w:pPr>
        <w:spacing w:line="360" w:lineRule="auto"/>
        <w:jc w:val="both"/>
        <w:rPr>
          <w:rFonts w:hint="eastAsia"/>
          <w:b/>
          <w:color w:val="0000FF"/>
          <w:sz w:val="28"/>
          <w:szCs w:val="28"/>
        </w:rPr>
      </w:pPr>
      <w:r>
        <w:rPr>
          <w:rFonts w:hint="eastAsia"/>
          <w:b/>
          <w:color w:val="0000FF"/>
          <w:sz w:val="28"/>
          <w:szCs w:val="28"/>
        </w:rPr>
        <w:t>高二月考生物参考答案</w:t>
      </w:r>
    </w:p>
    <w:p>
      <w:pPr>
        <w:spacing w:line="360" w:lineRule="auto"/>
        <w:rPr>
          <w:rFonts w:hint="eastAsia"/>
          <w:sz w:val="28"/>
          <w:szCs w:val="28"/>
        </w:rPr>
      </w:pPr>
      <w:r>
        <w:rPr>
          <w:rFonts w:hint="eastAsia"/>
          <w:sz w:val="28"/>
          <w:szCs w:val="28"/>
        </w:rPr>
        <w:t>一、选择题（每空1.5分，共60分）</w:t>
      </w:r>
    </w:p>
    <w:p>
      <w:pPr>
        <w:spacing w:line="360" w:lineRule="auto"/>
        <w:rPr>
          <w:rFonts w:hint="eastAsia"/>
          <w:sz w:val="28"/>
          <w:szCs w:val="28"/>
          <w:lang w:val="es-VE"/>
        </w:rPr>
      </w:pPr>
      <w:r>
        <w:rPr>
          <w:rFonts w:hint="eastAsia"/>
          <w:sz w:val="28"/>
          <w:szCs w:val="28"/>
          <w:lang w:val="es-VE"/>
        </w:rPr>
        <w:t>1</w:t>
      </w:r>
      <w:r>
        <w:rPr>
          <w:rFonts w:hint="eastAsia"/>
          <w:sz w:val="28"/>
          <w:szCs w:val="28"/>
          <w:lang w:val="es-VE"/>
        </w:rPr>
        <w:t>——</w:t>
      </w:r>
      <w:r>
        <w:rPr>
          <w:rFonts w:hint="eastAsia"/>
          <w:sz w:val="28"/>
          <w:szCs w:val="28"/>
          <w:lang w:val="es-VE"/>
        </w:rPr>
        <w:t>10          CCDCA    BCDAD</w:t>
      </w:r>
    </w:p>
    <w:p>
      <w:pPr>
        <w:spacing w:line="360" w:lineRule="auto"/>
        <w:rPr>
          <w:rFonts w:hint="eastAsia"/>
          <w:sz w:val="28"/>
          <w:szCs w:val="28"/>
          <w:lang w:val="es-VE"/>
        </w:rPr>
      </w:pPr>
      <w:r>
        <w:rPr>
          <w:rFonts w:hint="eastAsia"/>
          <w:sz w:val="28"/>
          <w:szCs w:val="28"/>
          <w:lang w:val="es-VE"/>
        </w:rPr>
        <w:t>11</w:t>
      </w:r>
      <w:r>
        <w:rPr>
          <w:rFonts w:hint="eastAsia"/>
          <w:sz w:val="28"/>
          <w:szCs w:val="28"/>
          <w:lang w:val="es-VE"/>
        </w:rPr>
        <w:t>——</w:t>
      </w:r>
      <w:r>
        <w:rPr>
          <w:rFonts w:hint="eastAsia"/>
          <w:sz w:val="28"/>
          <w:szCs w:val="28"/>
          <w:lang w:val="es-VE"/>
        </w:rPr>
        <w:t>20         DDCCD    BBCDD</w:t>
      </w:r>
    </w:p>
    <w:p>
      <w:pPr>
        <w:spacing w:line="360" w:lineRule="auto"/>
        <w:rPr>
          <w:rFonts w:hint="eastAsia"/>
          <w:sz w:val="28"/>
          <w:szCs w:val="28"/>
          <w:lang w:val="es-VE"/>
        </w:rPr>
      </w:pPr>
      <w:r>
        <w:rPr>
          <w:rFonts w:hint="eastAsia"/>
          <w:sz w:val="28"/>
          <w:szCs w:val="28"/>
          <w:lang w:val="es-VE"/>
        </w:rPr>
        <w:t>21</w:t>
      </w:r>
      <w:r>
        <w:rPr>
          <w:rFonts w:hint="eastAsia"/>
          <w:sz w:val="28"/>
          <w:szCs w:val="28"/>
          <w:lang w:val="es-VE"/>
        </w:rPr>
        <w:t>——</w:t>
      </w:r>
      <w:r>
        <w:rPr>
          <w:rFonts w:hint="eastAsia"/>
          <w:sz w:val="28"/>
          <w:szCs w:val="28"/>
          <w:lang w:val="es-VE"/>
        </w:rPr>
        <w:t>30         CDDBB    DADCC</w:t>
      </w:r>
    </w:p>
    <w:p>
      <w:pPr>
        <w:spacing w:line="360" w:lineRule="auto"/>
        <w:rPr>
          <w:rFonts w:hint="eastAsia"/>
          <w:sz w:val="28"/>
          <w:szCs w:val="28"/>
        </w:rPr>
      </w:pPr>
      <w:r>
        <w:rPr>
          <w:rFonts w:hint="eastAsia"/>
          <w:sz w:val="28"/>
          <w:szCs w:val="28"/>
        </w:rPr>
        <w:t>二、非选择题（每空2分.共40分）</w:t>
      </w:r>
    </w:p>
    <w:p>
      <w:pPr>
        <w:spacing w:before="100" w:beforeAutospacing="1" w:after="100" w:afterAutospacing="1" w:line="360" w:lineRule="exact"/>
        <w:rPr>
          <w:rFonts w:hint="eastAsia"/>
          <w:b/>
          <w:sz w:val="24"/>
        </w:rPr>
      </w:pPr>
      <w:r>
        <w:rPr>
          <w:rFonts w:hint="eastAsia"/>
          <w:b/>
          <w:sz w:val="24"/>
        </w:rPr>
        <w:t xml:space="preserve">31、（10分） </w:t>
      </w:r>
    </w:p>
    <w:p>
      <w:pPr>
        <w:spacing w:before="100" w:beforeAutospacing="1" w:after="100" w:afterAutospacing="1" w:line="360" w:lineRule="exact"/>
        <w:rPr>
          <w:rFonts w:ascii="宋体" w:hAnsi="宋体" w:hint="eastAsia"/>
          <w:b/>
          <w:sz w:val="24"/>
        </w:rPr>
      </w:pPr>
      <w:r>
        <w:rPr>
          <w:rFonts w:hint="eastAsia"/>
          <w:b/>
          <w:sz w:val="24"/>
        </w:rPr>
        <w:t>（1）</w:t>
      </w:r>
      <w:r>
        <w:rPr>
          <w:u w:val="single"/>
        </w:rPr>
        <w:t>　血浆　</w:t>
      </w:r>
      <w:r>
        <w:t>、</w:t>
      </w:r>
      <w:r>
        <w:rPr>
          <w:u w:val="single"/>
        </w:rPr>
        <w:t>　组织液　</w:t>
      </w:r>
      <w:r>
        <w:t>、</w:t>
      </w:r>
      <w:r>
        <w:rPr>
          <w:u w:val="single"/>
        </w:rPr>
        <w:t>　淋巴　</w:t>
      </w:r>
    </w:p>
    <w:p>
      <w:pPr>
        <w:adjustRightInd w:val="0"/>
        <w:spacing w:line="360" w:lineRule="auto"/>
        <w:jc w:val="left"/>
        <w:rPr>
          <w:rFonts w:hint="eastAsia"/>
          <w:b/>
          <w:sz w:val="24"/>
        </w:rPr>
      </w:pPr>
      <w:r>
        <w:rPr>
          <w:rFonts w:hAnsi="宋体"/>
          <w:b/>
          <w:sz w:val="24"/>
        </w:rPr>
        <w:t>（2）</w:t>
      </w:r>
      <w:r>
        <w:rPr>
          <w:rFonts w:ascii="宋体" w:hAnsi="宋体" w:hint="eastAsia"/>
        </w:rPr>
        <w:t>[</w:t>
      </w:r>
      <w:r>
        <w:rPr>
          <w:u w:val="single"/>
        </w:rPr>
        <w:t>　B　</w:t>
      </w:r>
      <w:r>
        <w:rPr>
          <w:rFonts w:ascii="宋体" w:hAnsi="宋体" w:hint="eastAsia"/>
        </w:rPr>
        <w:t>]</w:t>
      </w:r>
      <w:r>
        <w:rPr>
          <w:u w:val="single"/>
        </w:rPr>
        <w:t>　组织液　</w:t>
      </w:r>
      <w:r>
        <w:rPr>
          <w:rFonts w:hint="eastAsia"/>
          <w:b/>
          <w:sz w:val="24"/>
        </w:rPr>
        <w:t xml:space="preserve">     </w:t>
      </w:r>
    </w:p>
    <w:p>
      <w:pPr>
        <w:adjustRightInd w:val="0"/>
        <w:spacing w:line="360" w:lineRule="auto"/>
        <w:jc w:val="left"/>
        <w:rPr>
          <w:rFonts w:hint="eastAsia"/>
          <w:b/>
          <w:sz w:val="24"/>
        </w:rPr>
      </w:pPr>
      <w:r>
        <w:rPr>
          <w:rFonts w:hint="eastAsia"/>
          <w:b/>
          <w:sz w:val="24"/>
        </w:rPr>
        <w:t>（3）</w:t>
      </w:r>
      <w:r>
        <w:rPr>
          <w:u w:val="single"/>
        </w:rPr>
        <w:t>　C→B→A　</w:t>
      </w:r>
      <w:r>
        <w:rPr>
          <w:rFonts w:hint="eastAsia"/>
          <w:b/>
          <w:sz w:val="24"/>
        </w:rPr>
        <w:t xml:space="preserve">  </w:t>
      </w:r>
    </w:p>
    <w:p>
      <w:pPr>
        <w:adjustRightInd w:val="0"/>
        <w:spacing w:line="360" w:lineRule="auto"/>
        <w:jc w:val="left"/>
        <w:rPr>
          <w:rFonts w:hint="eastAsia"/>
          <w:b/>
          <w:sz w:val="24"/>
        </w:rPr>
      </w:pPr>
      <w:r>
        <w:rPr>
          <w:rFonts w:hint="eastAsia"/>
          <w:b/>
          <w:sz w:val="24"/>
        </w:rPr>
        <w:t>（4）神经</w:t>
      </w:r>
      <w:r>
        <w:rPr>
          <w:rFonts w:hint="eastAsia"/>
          <w:b/>
          <w:sz w:val="24"/>
        </w:rPr>
        <w:t>—</w:t>
      </w:r>
      <w:r>
        <w:rPr>
          <w:rFonts w:hint="eastAsia"/>
          <w:b/>
          <w:sz w:val="24"/>
        </w:rPr>
        <w:t>体液_</w:t>
      </w:r>
    </w:p>
    <w:p>
      <w:pPr>
        <w:adjustRightInd w:val="0"/>
        <w:spacing w:line="360" w:lineRule="auto"/>
        <w:jc w:val="left"/>
        <w:rPr>
          <w:rFonts w:hint="eastAsia"/>
          <w:b/>
          <w:sz w:val="24"/>
        </w:rPr>
      </w:pPr>
      <w:r>
        <w:rPr>
          <w:rFonts w:hint="eastAsia"/>
          <w:b/>
          <w:sz w:val="24"/>
        </w:rPr>
        <w:t>（5）</w:t>
      </w:r>
      <w:r>
        <w:rPr>
          <w:u w:val="single"/>
        </w:rPr>
        <w:t>　胰高血糖素　</w:t>
      </w:r>
      <w:r>
        <w:rPr>
          <w:rFonts w:ascii="宋体" w:hAnsi="宋体" w:hint="eastAsia"/>
          <w:b/>
          <w:szCs w:val="21"/>
          <w:u w:val="single"/>
        </w:rPr>
        <w:t xml:space="preserve"> </w:t>
      </w:r>
    </w:p>
    <w:p>
      <w:pPr>
        <w:ind w:firstLine="600" w:firstLineChars="250"/>
        <w:rPr>
          <w:rFonts w:ascii="宋体" w:hAnsi="宋体" w:hint="eastAsia"/>
          <w:b/>
          <w:sz w:val="24"/>
        </w:rPr>
      </w:pPr>
      <w:r>
        <w:rPr>
          <w:rFonts w:ascii="宋体" w:hAnsi="宋体" w:hint="eastAsia"/>
          <w:b/>
          <w:sz w:val="24"/>
        </w:rPr>
        <w:t xml:space="preserve">                                                         </w:t>
      </w:r>
    </w:p>
    <w:p>
      <w:pPr>
        <w:pStyle w:val="PlainText"/>
        <w:spacing w:line="360" w:lineRule="auto"/>
        <w:rPr>
          <w:rFonts w:hAnsi="宋体" w:hint="eastAsia"/>
          <w:b/>
          <w:sz w:val="24"/>
          <w:szCs w:val="24"/>
        </w:rPr>
      </w:pPr>
    </w:p>
    <w:p>
      <w:pPr>
        <w:spacing w:line="360" w:lineRule="exact"/>
        <w:rPr>
          <w:rFonts w:ascii="宋体" w:hAnsi="宋体" w:hint="eastAsia"/>
          <w:b/>
          <w:sz w:val="24"/>
        </w:rPr>
      </w:pPr>
      <w:r>
        <w:rPr>
          <w:rFonts w:ascii="宋体" w:hAnsi="宋体" w:hint="eastAsia"/>
          <w:b/>
          <w:sz w:val="24"/>
        </w:rPr>
        <w:t>32、（10分）</w:t>
      </w:r>
    </w:p>
    <w:p>
      <w:pPr>
        <w:spacing w:line="360" w:lineRule="exact"/>
        <w:rPr>
          <w:rFonts w:ascii="宋体" w:hAnsi="宋体" w:hint="eastAsia"/>
          <w:b/>
          <w:sz w:val="24"/>
        </w:rPr>
      </w:pPr>
    </w:p>
    <w:p>
      <w:pPr>
        <w:spacing w:line="360" w:lineRule="exact"/>
        <w:rPr>
          <w:rFonts w:ascii="宋体" w:hAnsi="宋体" w:hint="eastAsia"/>
          <w:b/>
          <w:sz w:val="24"/>
        </w:rPr>
      </w:pPr>
      <w:r>
        <w:rPr>
          <w:rFonts w:ascii="宋体" w:hAnsi="宋体" w:hint="eastAsia"/>
          <w:b/>
          <w:sz w:val="24"/>
        </w:rPr>
        <w:t>（1）</w:t>
      </w:r>
      <w:r>
        <w:rPr>
          <w:u w:val="single"/>
        </w:rPr>
        <w:t>细胞膜具有流动性</w:t>
      </w:r>
      <w:r>
        <w:rPr>
          <w:rFonts w:ascii="宋体" w:hAnsi="宋体" w:hint="eastAsia"/>
          <w:b/>
          <w:sz w:val="24"/>
        </w:rPr>
        <w:t xml:space="preserve"> </w:t>
      </w:r>
    </w:p>
    <w:p>
      <w:pPr>
        <w:spacing w:before="100" w:beforeAutospacing="1" w:after="100" w:afterAutospacing="1" w:line="360" w:lineRule="exact"/>
        <w:rPr>
          <w:rFonts w:hint="eastAsia"/>
          <w:b/>
          <w:sz w:val="24"/>
        </w:rPr>
      </w:pPr>
      <w:r>
        <w:rPr>
          <w:rFonts w:hint="eastAsia"/>
          <w:b/>
          <w:sz w:val="24"/>
        </w:rPr>
        <w:t>（2）</w:t>
      </w:r>
      <w:r>
        <w:rPr>
          <w:u w:val="single"/>
        </w:rPr>
        <w:t>Na　</w:t>
      </w:r>
      <w:r>
        <w:t>离子的</w:t>
      </w:r>
      <w:r>
        <w:rPr>
          <w:u w:val="single"/>
        </w:rPr>
        <w:t>　内流</w:t>
      </w:r>
      <w:r>
        <w:rPr>
          <w:rFonts w:ascii="宋体" w:hAnsi="宋体" w:hint="eastAsia"/>
          <w:b/>
          <w:sz w:val="24"/>
        </w:rPr>
        <w:t xml:space="preserve"> </w:t>
      </w:r>
    </w:p>
    <w:p>
      <w:pPr>
        <w:adjustRightInd w:val="0"/>
        <w:spacing w:line="360" w:lineRule="auto"/>
        <w:jc w:val="left"/>
        <w:rPr>
          <w:rFonts w:hint="eastAsia"/>
          <w:b/>
          <w:sz w:val="24"/>
        </w:rPr>
      </w:pPr>
      <w:r>
        <w:rPr>
          <w:rFonts w:hint="eastAsia"/>
          <w:b/>
          <w:sz w:val="24"/>
        </w:rPr>
        <w:t>（3）</w:t>
      </w:r>
      <w:r>
        <w:rPr>
          <w:u w:val="single"/>
        </w:rPr>
        <w:t>促进神经递质的释放</w:t>
      </w:r>
      <w:r>
        <w:rPr>
          <w:rFonts w:hint="eastAsia"/>
          <w:b/>
          <w:sz w:val="24"/>
        </w:rPr>
        <w:t xml:space="preserve">_ </w:t>
      </w:r>
    </w:p>
    <w:p>
      <w:pPr>
        <w:adjustRightInd w:val="0"/>
        <w:spacing w:line="360" w:lineRule="auto"/>
        <w:jc w:val="left"/>
        <w:rPr>
          <w:rFonts w:hint="eastAsia"/>
          <w:u w:val="single"/>
        </w:rPr>
      </w:pPr>
      <w:r>
        <w:rPr>
          <w:rFonts w:hint="eastAsia"/>
          <w:b/>
          <w:sz w:val="24"/>
        </w:rPr>
        <w:t>（4）_</w:t>
      </w:r>
      <w:r>
        <w:rPr>
          <w:u w:val="single"/>
        </w:rPr>
        <w:t>减少</w:t>
      </w:r>
    </w:p>
    <w:p>
      <w:pPr>
        <w:adjustRightInd w:val="0"/>
        <w:spacing w:line="360" w:lineRule="auto"/>
        <w:jc w:val="left"/>
        <w:rPr>
          <w:rFonts w:hint="eastAsia"/>
          <w:b/>
          <w:sz w:val="24"/>
        </w:rPr>
      </w:pPr>
      <w:r>
        <w:rPr>
          <w:rFonts w:hint="eastAsia"/>
          <w:b/>
          <w:sz w:val="24"/>
        </w:rPr>
        <w:t>（5）</w:t>
      </w:r>
      <w:r>
        <w:rPr>
          <w:u w:val="single"/>
        </w:rPr>
        <w:t>（新）突触　</w:t>
      </w:r>
    </w:p>
    <w:p>
      <w:pPr>
        <w:spacing w:line="360" w:lineRule="exact"/>
        <w:rPr>
          <w:rFonts w:hint="eastAsia"/>
          <w:b/>
          <w:sz w:val="24"/>
        </w:rPr>
      </w:pPr>
      <w:r>
        <w:rPr>
          <w:rFonts w:ascii="宋体" w:hAnsi="宋体" w:hint="eastAsia"/>
          <w:b/>
          <w:sz w:val="24"/>
        </w:rPr>
        <w:t xml:space="preserve">   </w:t>
      </w:r>
    </w:p>
    <w:p>
      <w:pPr>
        <w:adjustRightInd w:val="0"/>
        <w:spacing w:line="360" w:lineRule="auto"/>
        <w:jc w:val="left"/>
        <w:rPr>
          <w:rFonts w:hint="eastAsia"/>
          <w:b/>
          <w:sz w:val="24"/>
        </w:rPr>
      </w:pPr>
      <w:r>
        <w:rPr>
          <w:rFonts w:hint="eastAsia"/>
          <w:b/>
          <w:sz w:val="24"/>
        </w:rPr>
        <w:t>33、（10分）</w:t>
      </w:r>
    </w:p>
    <w:p>
      <w:pPr>
        <w:spacing w:line="360" w:lineRule="exact"/>
        <w:rPr>
          <w:rFonts w:ascii="宋体" w:hAnsi="宋体" w:hint="eastAsia"/>
          <w:b/>
          <w:sz w:val="24"/>
        </w:rPr>
      </w:pPr>
      <w:r>
        <w:rPr>
          <w:rFonts w:ascii="宋体" w:hAnsi="宋体" w:hint="eastAsia"/>
          <w:b/>
          <w:sz w:val="24"/>
        </w:rPr>
        <w:t>（1）</w:t>
      </w:r>
      <w:r>
        <w:rPr>
          <w:u w:val="single"/>
        </w:rPr>
        <w:t>体液免疫和细胞免疫（特异性免疫）</w:t>
      </w:r>
      <w:r>
        <w:rPr>
          <w:rFonts w:ascii="宋体" w:hAnsi="宋体" w:hint="eastAsia"/>
          <w:b/>
          <w:sz w:val="24"/>
        </w:rPr>
        <w:t xml:space="preserve"> </w:t>
      </w:r>
    </w:p>
    <w:p>
      <w:pPr>
        <w:spacing w:before="100" w:beforeAutospacing="1" w:after="100" w:afterAutospacing="1" w:line="360" w:lineRule="exact"/>
        <w:rPr>
          <w:rFonts w:hint="eastAsia"/>
          <w:b/>
          <w:sz w:val="24"/>
        </w:rPr>
      </w:pPr>
      <w:r>
        <w:rPr>
          <w:rFonts w:hint="eastAsia"/>
          <w:b/>
          <w:sz w:val="24"/>
        </w:rPr>
        <w:t>（2）</w:t>
      </w:r>
      <w:r>
        <w:rPr>
          <w:u w:val="single"/>
        </w:rPr>
        <w:t>细胞分化</w:t>
      </w:r>
      <w:r>
        <w:rPr>
          <w:rFonts w:ascii="宋体" w:hAnsi="宋体" w:hint="eastAsia"/>
          <w:b/>
          <w:sz w:val="24"/>
          <w:u w:val="single"/>
        </w:rPr>
        <w:t xml:space="preserve">    </w:t>
      </w:r>
    </w:p>
    <w:p>
      <w:pPr>
        <w:adjustRightInd w:val="0"/>
        <w:spacing w:line="360" w:lineRule="auto"/>
        <w:jc w:val="left"/>
        <w:rPr>
          <w:rFonts w:hint="eastAsia"/>
          <w:b/>
          <w:sz w:val="24"/>
        </w:rPr>
      </w:pPr>
      <w:r>
        <w:rPr>
          <w:rFonts w:hint="eastAsia"/>
          <w:b/>
          <w:sz w:val="24"/>
        </w:rPr>
        <w:t>（3）</w:t>
      </w:r>
      <w:r>
        <w:rPr>
          <w:u w:val="single"/>
        </w:rPr>
        <w:t>相同的抗原（或过敏原）</w:t>
      </w:r>
      <w:r>
        <w:rPr>
          <w:rFonts w:hint="eastAsia"/>
          <w:b/>
          <w:sz w:val="24"/>
        </w:rPr>
        <w:t xml:space="preserve"> </w:t>
      </w:r>
    </w:p>
    <w:p>
      <w:pPr>
        <w:adjustRightInd w:val="0"/>
        <w:spacing w:line="360" w:lineRule="auto"/>
        <w:jc w:val="left"/>
        <w:rPr>
          <w:rFonts w:hint="eastAsia"/>
          <w:u w:val="single"/>
        </w:rPr>
      </w:pPr>
      <w:r>
        <w:rPr>
          <w:rFonts w:hint="eastAsia"/>
          <w:b/>
          <w:sz w:val="24"/>
        </w:rPr>
        <w:t>（4）</w:t>
      </w:r>
      <w:r>
        <w:rPr>
          <w:u w:val="single"/>
        </w:rPr>
        <w:t>a　</w:t>
      </w:r>
    </w:p>
    <w:p>
      <w:pPr>
        <w:adjustRightInd w:val="0"/>
        <w:spacing w:line="360" w:lineRule="auto"/>
        <w:jc w:val="left"/>
        <w:rPr>
          <w:rFonts w:hint="eastAsia"/>
          <w:b/>
          <w:sz w:val="24"/>
        </w:rPr>
      </w:pPr>
      <w:r>
        <w:rPr>
          <w:rFonts w:hint="eastAsia"/>
          <w:b/>
          <w:sz w:val="24"/>
        </w:rPr>
        <w:t>（5）</w:t>
      </w:r>
      <w:r>
        <w:rPr>
          <w:u w:val="single"/>
        </w:rPr>
        <w:t>　下丘脑　</w:t>
      </w:r>
      <w:r>
        <w:rPr>
          <w:rFonts w:ascii="宋体" w:hAnsi="宋体" w:hint="eastAsia"/>
          <w:b/>
          <w:szCs w:val="21"/>
          <w:u w:val="single"/>
        </w:rPr>
        <w:t xml:space="preserve"> </w:t>
      </w:r>
    </w:p>
    <w:p>
      <w:pPr>
        <w:adjustRightInd w:val="0"/>
        <w:spacing w:line="360" w:lineRule="auto"/>
        <w:ind w:firstLine="240" w:firstLineChars="100"/>
        <w:jc w:val="left"/>
        <w:rPr>
          <w:rFonts w:hint="eastAsia"/>
          <w:b/>
          <w:sz w:val="24"/>
        </w:rPr>
      </w:pPr>
    </w:p>
    <w:p>
      <w:pPr>
        <w:adjustRightInd w:val="0"/>
        <w:spacing w:line="360" w:lineRule="auto"/>
        <w:jc w:val="left"/>
        <w:rPr>
          <w:rFonts w:hint="eastAsia"/>
          <w:b/>
          <w:sz w:val="24"/>
        </w:rPr>
      </w:pPr>
      <w:r>
        <w:rPr>
          <w:rFonts w:ascii="宋体" w:hAnsi="宋体" w:hint="eastAsia"/>
          <w:b/>
          <w:sz w:val="24"/>
        </w:rPr>
        <w:t xml:space="preserve"> </w:t>
      </w:r>
      <w:r>
        <w:rPr>
          <w:rFonts w:hint="eastAsia"/>
          <w:b/>
          <w:sz w:val="24"/>
        </w:rPr>
        <w:t>34、（10分）</w:t>
      </w:r>
    </w:p>
    <w:p>
      <w:pPr>
        <w:spacing w:line="360" w:lineRule="exact"/>
        <w:rPr>
          <w:rFonts w:ascii="宋体" w:hAnsi="宋体" w:hint="eastAsia"/>
          <w:b/>
          <w:sz w:val="24"/>
        </w:rPr>
      </w:pPr>
      <w:r>
        <w:t>①</w:t>
      </w:r>
      <w:r>
        <w:rPr>
          <w:rFonts w:ascii="宋体" w:hAnsi="宋体" w:hint="eastAsia"/>
          <w:b/>
          <w:sz w:val="24"/>
        </w:rPr>
        <w:t xml:space="preserve"> </w:t>
      </w:r>
      <w:r>
        <w:rPr>
          <w:rFonts w:ascii="宋体" w:hAnsi="宋体"/>
          <w:b/>
          <w:sz w:val="24"/>
          <w:u w:val="single"/>
        </w:rPr>
        <w:t xml:space="preserve"> </w:t>
      </w:r>
      <w:r>
        <w:rPr>
          <w:u w:val="single"/>
        </w:rPr>
        <w:t>用生理盐水配制的胰岛素</w:t>
      </w:r>
      <w:r>
        <w:rPr>
          <w:rFonts w:ascii="宋体" w:hAnsi="宋体"/>
          <w:b/>
          <w:sz w:val="24"/>
          <w:u w:val="single"/>
        </w:rPr>
        <w:t xml:space="preserve"> </w:t>
      </w:r>
    </w:p>
    <w:p>
      <w:pPr>
        <w:spacing w:before="100" w:beforeAutospacing="1" w:after="100" w:afterAutospacing="1" w:line="360" w:lineRule="exact"/>
        <w:rPr>
          <w:rFonts w:hint="eastAsia"/>
          <w:b/>
          <w:sz w:val="24"/>
        </w:rPr>
      </w:pPr>
      <w:r>
        <w:t>②</w:t>
      </w:r>
      <w:r>
        <w:rPr>
          <w:u w:val="single"/>
        </w:rPr>
        <w:t>葡萄糖</w:t>
      </w:r>
      <w:r>
        <w:rPr>
          <w:rFonts w:ascii="宋体" w:hAnsi="宋体" w:hint="eastAsia"/>
          <w:b/>
          <w:sz w:val="24"/>
          <w:u w:val="single"/>
        </w:rPr>
        <w:t xml:space="preserve"> </w:t>
      </w:r>
    </w:p>
    <w:p>
      <w:pPr>
        <w:adjustRightInd w:val="0"/>
        <w:spacing w:line="360" w:lineRule="auto"/>
        <w:jc w:val="left"/>
        <w:rPr>
          <w:rFonts w:hint="eastAsia"/>
          <w:b/>
          <w:sz w:val="24"/>
        </w:rPr>
      </w:pPr>
      <w:r>
        <w:t>③</w:t>
      </w:r>
      <w:r>
        <w:rPr>
          <w:u w:val="single"/>
        </w:rPr>
        <w:t>低血糖症状缓解，活动恢复正常　</w:t>
      </w:r>
      <w:r>
        <w:rPr>
          <w:rFonts w:hint="eastAsia"/>
          <w:b/>
          <w:sz w:val="24"/>
        </w:rPr>
        <w:t xml:space="preserve"> </w:t>
      </w:r>
    </w:p>
    <w:p>
      <w:pPr>
        <w:adjustRightInd w:val="0"/>
        <w:spacing w:line="360" w:lineRule="auto"/>
        <w:jc w:val="left"/>
        <w:rPr>
          <w:rFonts w:hint="eastAsia"/>
          <w:u w:val="single"/>
        </w:rPr>
      </w:pPr>
      <w:r>
        <w:t>④</w:t>
      </w:r>
      <w:r>
        <w:rPr>
          <w:rFonts w:hint="eastAsia"/>
          <w:b/>
          <w:sz w:val="24"/>
        </w:rPr>
        <w:t>_</w:t>
      </w:r>
      <w:r>
        <w:rPr>
          <w:u w:val="single"/>
        </w:rPr>
        <w:t>作为对照（空白对照）</w:t>
      </w:r>
    </w:p>
    <w:p>
      <w:pPr>
        <w:adjustRightInd w:val="0"/>
        <w:spacing w:line="360" w:lineRule="auto"/>
        <w:jc w:val="left"/>
        <w:rPr>
          <w:rFonts w:hint="eastAsia"/>
          <w:b/>
          <w:sz w:val="24"/>
        </w:rPr>
      </w:pPr>
      <w:r>
        <w:t>⑤</w:t>
      </w:r>
      <w:r>
        <w:rPr>
          <w:rFonts w:hint="eastAsia"/>
          <w:b/>
          <w:sz w:val="24"/>
        </w:rPr>
        <w:t>_</w:t>
      </w:r>
      <w:r>
        <w:rPr>
          <w:u w:val="single"/>
        </w:rPr>
        <w:t>自身对照　</w:t>
      </w:r>
      <w:r>
        <w:rPr>
          <w:rFonts w:ascii="宋体" w:hAnsi="宋体" w:hint="eastAsia"/>
          <w:b/>
          <w:szCs w:val="21"/>
          <w:u w:val="single"/>
        </w:rPr>
        <w:t xml:space="preserve"> </w:t>
      </w:r>
    </w:p>
    <w:p>
      <w:pPr>
        <w:rPr>
          <w:rFonts w:ascii="宋体" w:hAnsi="宋体" w:hint="eastAsia"/>
          <w:b/>
          <w:sz w:val="24"/>
        </w:rPr>
      </w:pPr>
    </w:p>
    <w:sectPr>
      <w:headerReference w:type="default" r:id="rId38"/>
      <w:footerReference w:type="default" r:id="rId39"/>
      <w:pgSz w:w="22107" w:h="15309" w:orient="landscape"/>
      <w:pgMar w:top="1531" w:right="1531" w:bottom="1814" w:left="2608" w:header="851" w:footer="992" w:gutter="0"/>
      <w:cols w:num="2" w:space="1050" w:equalWidth="1"/>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enter" w:pos="4153"/>
        <w:tab w:val="right" w:pos="8306"/>
      </w:tabs>
      <w:jc w:val="center"/>
      <w:rPr>
        <w:rFonts w:hint="eastAsia"/>
      </w:rPr>
    </w:pPr>
    <w:r>
      <w:rPr>
        <w:rFonts w:hint="eastAsia"/>
      </w:rPr>
      <w:t xml:space="preserve">高二期中生物    </w:t>
    </w: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r>
      <w:rPr>
        <w:rFonts w:hint="eastAsia"/>
        <w:kern w:val="0"/>
        <w:szCs w:val="21"/>
      </w:rPr>
      <w:t xml:space="preserve"> 页 共 5 页</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Bdr>
        <w:bottom w:val="none" w:sz="0" w:space="0" w:color="auto"/>
      </w:pBdr>
      <w:tabs>
        <w:tab w:val="center" w:pos="4153"/>
        <w:tab w:val="right" w:pos="8306"/>
      </w:tabs>
      <w:jc w:val="both"/>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en-US" w:val="([{·‘“〈《「『【〔〖（．［｛￡￥"/>
  <w:noLineBreaksBefore w:lang="en-US" w:val="!),.:;?]}¨·ˇˉ―‖’”…∶、。〃々〉》」』】〕〗！＂＇），．：；？］｀｜｝～￠"/>
  <w:endnotePr>
    <w:numFmt w:val="decimal"/>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5596"/>
    <w:rsid w:val="000966E0"/>
    <w:rsid w:val="000C15F2"/>
    <w:rsid w:val="0014219D"/>
    <w:rsid w:val="0015283F"/>
    <w:rsid w:val="00173DC4"/>
    <w:rsid w:val="00182756"/>
    <w:rsid w:val="001A245F"/>
    <w:rsid w:val="001D0B6D"/>
    <w:rsid w:val="001D55A8"/>
    <w:rsid w:val="001D7C9C"/>
    <w:rsid w:val="001E1E16"/>
    <w:rsid w:val="002061D8"/>
    <w:rsid w:val="00213811"/>
    <w:rsid w:val="00214C48"/>
    <w:rsid w:val="002309E9"/>
    <w:rsid w:val="002355AB"/>
    <w:rsid w:val="00236D24"/>
    <w:rsid w:val="002D791F"/>
    <w:rsid w:val="002E78DC"/>
    <w:rsid w:val="003200FB"/>
    <w:rsid w:val="003263A5"/>
    <w:rsid w:val="00331476"/>
    <w:rsid w:val="00332185"/>
    <w:rsid w:val="00340B3A"/>
    <w:rsid w:val="003520CC"/>
    <w:rsid w:val="003658E9"/>
    <w:rsid w:val="00383324"/>
    <w:rsid w:val="0038754F"/>
    <w:rsid w:val="0039679F"/>
    <w:rsid w:val="003A2B2F"/>
    <w:rsid w:val="003A7775"/>
    <w:rsid w:val="003B7415"/>
    <w:rsid w:val="003E33A5"/>
    <w:rsid w:val="00404927"/>
    <w:rsid w:val="004050A2"/>
    <w:rsid w:val="00406439"/>
    <w:rsid w:val="00441DD9"/>
    <w:rsid w:val="00452429"/>
    <w:rsid w:val="004757D1"/>
    <w:rsid w:val="00491D7F"/>
    <w:rsid w:val="004973C9"/>
    <w:rsid w:val="004D4F4D"/>
    <w:rsid w:val="004F2506"/>
    <w:rsid w:val="0050153E"/>
    <w:rsid w:val="00502C78"/>
    <w:rsid w:val="00510D94"/>
    <w:rsid w:val="00511FEF"/>
    <w:rsid w:val="005327B1"/>
    <w:rsid w:val="00553F38"/>
    <w:rsid w:val="005721BD"/>
    <w:rsid w:val="005B20E2"/>
    <w:rsid w:val="005F3D5D"/>
    <w:rsid w:val="0061076C"/>
    <w:rsid w:val="00621F03"/>
    <w:rsid w:val="00646D54"/>
    <w:rsid w:val="006536B1"/>
    <w:rsid w:val="006726DE"/>
    <w:rsid w:val="00676407"/>
    <w:rsid w:val="006A549A"/>
    <w:rsid w:val="006F75B6"/>
    <w:rsid w:val="00721CD0"/>
    <w:rsid w:val="007434D7"/>
    <w:rsid w:val="007C0A4A"/>
    <w:rsid w:val="007D18D8"/>
    <w:rsid w:val="007D46F0"/>
    <w:rsid w:val="007D4DA6"/>
    <w:rsid w:val="00810236"/>
    <w:rsid w:val="00843E47"/>
    <w:rsid w:val="0085507B"/>
    <w:rsid w:val="00895596"/>
    <w:rsid w:val="00915124"/>
    <w:rsid w:val="00932AD9"/>
    <w:rsid w:val="00937C3A"/>
    <w:rsid w:val="00942325"/>
    <w:rsid w:val="009472EC"/>
    <w:rsid w:val="009550D5"/>
    <w:rsid w:val="00957AFF"/>
    <w:rsid w:val="009965C6"/>
    <w:rsid w:val="009A6E1C"/>
    <w:rsid w:val="009C014A"/>
    <w:rsid w:val="00A213F9"/>
    <w:rsid w:val="00A25A1A"/>
    <w:rsid w:val="00A2670B"/>
    <w:rsid w:val="00AA4F95"/>
    <w:rsid w:val="00AA6B86"/>
    <w:rsid w:val="00AB4350"/>
    <w:rsid w:val="00AC034F"/>
    <w:rsid w:val="00AD5E23"/>
    <w:rsid w:val="00AE760D"/>
    <w:rsid w:val="00AE7D94"/>
    <w:rsid w:val="00AF74CB"/>
    <w:rsid w:val="00B0685A"/>
    <w:rsid w:val="00B13DFF"/>
    <w:rsid w:val="00B15C7C"/>
    <w:rsid w:val="00B1708A"/>
    <w:rsid w:val="00B20C4E"/>
    <w:rsid w:val="00B31A40"/>
    <w:rsid w:val="00B52366"/>
    <w:rsid w:val="00B631DC"/>
    <w:rsid w:val="00B8187D"/>
    <w:rsid w:val="00BB0BF4"/>
    <w:rsid w:val="00BC30CF"/>
    <w:rsid w:val="00BD3770"/>
    <w:rsid w:val="00BE304F"/>
    <w:rsid w:val="00C16AC9"/>
    <w:rsid w:val="00C3262E"/>
    <w:rsid w:val="00C54FAE"/>
    <w:rsid w:val="00C70E8B"/>
    <w:rsid w:val="00C77F40"/>
    <w:rsid w:val="00C829E6"/>
    <w:rsid w:val="00C9396C"/>
    <w:rsid w:val="00CC53FE"/>
    <w:rsid w:val="00CD4399"/>
    <w:rsid w:val="00CE5CAA"/>
    <w:rsid w:val="00D17699"/>
    <w:rsid w:val="00D30044"/>
    <w:rsid w:val="00D62EED"/>
    <w:rsid w:val="00D64C6C"/>
    <w:rsid w:val="00D76AD8"/>
    <w:rsid w:val="00D944F2"/>
    <w:rsid w:val="00DB1775"/>
    <w:rsid w:val="00DC7404"/>
    <w:rsid w:val="00DF6EAE"/>
    <w:rsid w:val="00E45EFC"/>
    <w:rsid w:val="00E46527"/>
    <w:rsid w:val="00E96495"/>
    <w:rsid w:val="00EB30B8"/>
    <w:rsid w:val="00F10316"/>
    <w:rsid w:val="00F2275F"/>
    <w:rsid w:val="00F24929"/>
    <w:rsid w:val="00FA3B28"/>
    <w:rsid w:val="581E0664"/>
    <w:rsid w:val="588355DC"/>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uiPriority="0" w:unhideWhenUsed="0"/>
    <w:lsdException w:name="Table Grid" w:semiHidden="0" w:uiPriority="0" w:unhideWhenUsed="0" w:qFormat="1"/>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kern w:val="2"/>
      <w:sz w:val="21"/>
      <w:szCs w:val="24"/>
      <w:lang w:val="en-US" w:eastAsia="zh-CN" w:bidi="ar-SA"/>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character" w:customStyle="1" w:styleId="msgbodytext">
    <w:name w:val="msgbodytext"/>
    <w:basedOn w:val="DefaultParagraphFont"/>
  </w:style>
  <w:style w:type="character" w:customStyle="1" w:styleId="Char">
    <w:name w:val="正文文本 Char"/>
    <w:link w:val="BodyText"/>
    <w:rPr>
      <w:rFonts w:ascii="宋体" w:hAnsi="宋体"/>
      <w:kern w:val="2"/>
      <w:sz w:val="30"/>
      <w:szCs w:val="24"/>
    </w:rPr>
  </w:style>
  <w:style w:type="character" w:customStyle="1" w:styleId="Char0">
    <w:name w:val="标题 Char"/>
    <w:link w:val="Title"/>
    <w:rPr>
      <w:rFonts w:ascii="Cambria" w:eastAsia="宋体" w:hAnsi="Cambria"/>
      <w:b/>
      <w:bCs/>
      <w:kern w:val="2"/>
      <w:sz w:val="32"/>
      <w:szCs w:val="32"/>
      <w:lang w:val="en-US" w:eastAsia="zh-CN" w:bidi="ar-SA"/>
    </w:rPr>
  </w:style>
  <w:style w:type="character" w:customStyle="1" w:styleId="Char1">
    <w:name w:val="批注文字 Char"/>
    <w:link w:val="CommentText"/>
    <w:rPr>
      <w:rFonts w:ascii="Calibri" w:hAnsi="Calibri"/>
      <w:kern w:val="2"/>
      <w:sz w:val="21"/>
      <w:szCs w:val="24"/>
    </w:rPr>
  </w:style>
  <w:style w:type="character" w:customStyle="1" w:styleId="1Char">
    <w:name w:val="标题1 Char"/>
    <w:aliases w:val=" Char Char,Char Char Char Char,Char Char Char1,Char Char1,Plain Te Char,普通 Char,普通文字 Char Char,普通文字 Char1,标题1 Char Char Char,标题1 Char Char Char Char Char Char,游数的 Char,游数的格式 Char,纯文本 Char Char Char,纯文本 Char Char1 Char Char Char Char"/>
    <w:link w:val="PlainText"/>
    <w:rPr>
      <w:rFonts w:ascii="宋体" w:hAnsi="Courier New" w:cs="Courier New"/>
      <w:sz w:val="21"/>
      <w:szCs w:val="21"/>
    </w:rPr>
  </w:style>
  <w:style w:type="character" w:customStyle="1" w:styleId="Char5">
    <w:name w:val="普通(网站) Char"/>
    <w:aliases w:val="普通 (Web)1 Char,普通(Web) Char Char Char,普通(Web) Char Char Char Char Char,普通(Web) Char Char Char Char Char Char Char Char Char Char,普通(Web) Char Char Char Char Char Char Char Char Char1,普通(Web) Char Char1,普通(网站)1 Char"/>
    <w:link w:val="NormalWeb"/>
    <w:rPr>
      <w:rFonts w:ascii="宋体" w:eastAsia="宋体" w:hAnsi="宋体" w:cs="宋体"/>
      <w:sz w:val="24"/>
      <w:szCs w:val="24"/>
      <w:lang w:val="en-US" w:eastAsia="zh-CN" w:bidi="ar-SA"/>
    </w:rPr>
  </w:style>
  <w:style w:type="character" w:styleId="PageNumber">
    <w:name w:val="page number"/>
    <w:basedOn w:val="DefaultParagraphFont"/>
  </w:style>
  <w:style w:type="paragraph" w:styleId="Title">
    <w:name w:val="Title"/>
    <w:basedOn w:val="Normal"/>
    <w:next w:val="Normal"/>
    <w:link w:val="Char0"/>
    <w:qFormat/>
    <w:pPr>
      <w:spacing w:before="240" w:after="60"/>
      <w:jc w:val="center"/>
      <w:outlineLvl w:val="0"/>
    </w:pPr>
    <w:rPr>
      <w:rFonts w:ascii="Cambria" w:hAnsi="Cambria"/>
      <w:b/>
      <w:bCs/>
      <w:sz w:val="32"/>
      <w:szCs w:val="32"/>
    </w:rPr>
  </w:style>
  <w:style w:type="paragraph" w:styleId="NormalWeb">
    <w:name w:val="Normal (Web)"/>
    <w:basedOn w:val="Normal"/>
    <w:link w:val="Char5"/>
    <w:pPr>
      <w:widowControl/>
      <w:spacing w:before="100" w:beforeAutospacing="1" w:after="100" w:afterAutospacing="1"/>
      <w:jc w:val="left"/>
    </w:pPr>
    <w:rPr>
      <w:rFonts w:ascii="宋体" w:hAnsi="宋体" w:cs="宋体"/>
      <w:kern w:val="0"/>
      <w:sz w:val="24"/>
    </w:rPr>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paragraph" w:styleId="BodyText">
    <w:name w:val="Body Text"/>
    <w:basedOn w:val="Normal"/>
    <w:link w:val="Char"/>
    <w:rPr>
      <w:rFonts w:ascii="宋体" w:hAnsi="宋体"/>
      <w:sz w:val="30"/>
    </w:rPr>
  </w:style>
  <w:style w:type="paragraph" w:styleId="Footer">
    <w:name w:val="footer"/>
    <w:basedOn w:val="Normal"/>
    <w:pPr>
      <w:tabs>
        <w:tab w:val="center" w:pos="4153"/>
        <w:tab w:val="right" w:pos="8306"/>
      </w:tabs>
      <w:snapToGrid w:val="0"/>
      <w:jc w:val="left"/>
    </w:pPr>
    <w:rPr>
      <w:sz w:val="18"/>
      <w:szCs w:val="18"/>
    </w:rPr>
  </w:style>
  <w:style w:type="paragraph" w:styleId="BalloonText">
    <w:name w:val="Balloon Text"/>
    <w:basedOn w:val="Normal"/>
    <w:semiHidden/>
    <w:rPr>
      <w:sz w:val="18"/>
      <w:szCs w:val="18"/>
    </w:rPr>
  </w:style>
  <w:style w:type="paragraph" w:styleId="PlainText">
    <w:name w:val="Plain Text"/>
    <w:basedOn w:val="Normal"/>
    <w:link w:val="1Char"/>
    <w:pPr>
      <w:adjustRightInd w:val="0"/>
      <w:spacing w:line="312" w:lineRule="atLeast"/>
      <w:textAlignment w:val="baseline"/>
    </w:pPr>
    <w:rPr>
      <w:rFonts w:ascii="宋体" w:hAnsi="Courier New"/>
      <w:kern w:val="0"/>
      <w:szCs w:val="21"/>
    </w:rPr>
  </w:style>
  <w:style w:type="paragraph" w:customStyle="1" w:styleId="Normal0">
    <w:name w:val="Normal_0"/>
    <w:qFormat/>
    <w:pPr>
      <w:adjustRightInd w:val="0"/>
      <w:snapToGrid w:val="0"/>
      <w:spacing w:after="200"/>
    </w:pPr>
    <w:rPr>
      <w:rFonts w:ascii="Tahoma" w:eastAsia="微软雅黑" w:hAnsi="Tahoma" w:cs="Times New Roman"/>
      <w:sz w:val="22"/>
      <w:lang w:val="en-US" w:eastAsia="zh-CN" w:bidi="ar-SA"/>
    </w:rPr>
  </w:style>
  <w:style w:type="paragraph" w:customStyle="1" w:styleId="DefaultParagraph">
    <w:name w:val="DefaultParagraph"/>
    <w:rPr>
      <w:rFonts w:hAnsi="Calibri"/>
      <w:kern w:val="2"/>
      <w:sz w:val="21"/>
      <w:szCs w:val="22"/>
      <w:lang w:val="en-US" w:eastAsia="zh-CN" w:bidi="ar-SA"/>
    </w:rPr>
  </w:style>
  <w:style w:type="paragraph" w:customStyle="1" w:styleId="0">
    <w:name w:val="正文_0"/>
    <w:qFormat/>
    <w:pPr>
      <w:widowControl w:val="0"/>
      <w:jc w:val="both"/>
    </w:pPr>
    <w:rPr>
      <w:rFonts w:ascii="Calibri" w:hAnsi="Calibri"/>
      <w:kern w:val="2"/>
      <w:sz w:val="21"/>
      <w:lang w:val="en-US" w:eastAsia="zh-CN" w:bidi="ar-SA"/>
    </w:rPr>
  </w:style>
  <w:style w:type="paragraph" w:styleId="CommentText">
    <w:name w:val="annotation text"/>
    <w:basedOn w:val="0"/>
    <w:link w:val="Char1"/>
    <w:pPr>
      <w:jc w:val="left"/>
    </w:pPr>
    <w:rPr>
      <w:szCs w:val="24"/>
    </w:rPr>
  </w:style>
  <w:style w:type="paragraph" w:customStyle="1" w:styleId="CharCharChar1CharCharCharChar">
    <w:name w:val=" Char Char Char1 Char Char Char Char"/>
    <w:basedOn w:val="Normal"/>
    <w:pPr>
      <w:widowControl/>
      <w:spacing w:line="300" w:lineRule="auto"/>
      <w:ind w:firstLine="200" w:firstLineChars="200"/>
    </w:pPr>
    <w:rPr>
      <w:rFonts w:ascii="Verdana" w:hAnsi="Verdana"/>
      <w:kern w:val="0"/>
      <w:szCs w:val="20"/>
      <w:lang w:eastAsia="en-U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image" Target="media/image26.png" /><Relationship Id="rId3" Type="http://schemas.openxmlformats.org/officeDocument/2006/relationships/fontTable" Target="fontTable.xml" /><Relationship Id="rId30" Type="http://schemas.openxmlformats.org/officeDocument/2006/relationships/image" Target="media/image27.png" /><Relationship Id="rId31" Type="http://schemas.openxmlformats.org/officeDocument/2006/relationships/image" Target="media/image28.png" /><Relationship Id="rId32" Type="http://schemas.openxmlformats.org/officeDocument/2006/relationships/image" Target="media/image29.png" /><Relationship Id="rId33" Type="http://schemas.openxmlformats.org/officeDocument/2006/relationships/image" Target="media/image30.png" /><Relationship Id="rId34" Type="http://schemas.openxmlformats.org/officeDocument/2006/relationships/image" Target="media/image31.jpeg" /><Relationship Id="rId35" Type="http://schemas.openxmlformats.org/officeDocument/2006/relationships/image" Target="media/image32.png" /><Relationship Id="rId36" Type="http://schemas.openxmlformats.org/officeDocument/2006/relationships/image" Target="media/image33.png" /><Relationship Id="rId37" Type="http://schemas.openxmlformats.org/officeDocument/2006/relationships/image" Target="media/image34.png" /><Relationship Id="rId38" Type="http://schemas.openxmlformats.org/officeDocument/2006/relationships/header" Target="header1.xml" /><Relationship Id="rId39" Type="http://schemas.openxmlformats.org/officeDocument/2006/relationships/footer" Target="footer1.xml" /><Relationship Id="rId4" Type="http://schemas.openxmlformats.org/officeDocument/2006/relationships/image" Target="media/image1.png" /><Relationship Id="rId40" Type="http://schemas.openxmlformats.org/officeDocument/2006/relationships/numbering" Target="numbering.xml" /><Relationship Id="rId41" Type="http://schemas.openxmlformats.org/officeDocument/2006/relationships/styles" Target="styles.xml"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Template>
  <TotalTime>0</TotalTime>
  <Pages>9</Pages>
  <Words>1334</Words>
  <Characters>7610</Characters>
  <Application>Microsoft Office Word</Application>
  <DocSecurity>0</DocSecurity>
  <Lines>63</Lines>
  <Paragraphs>17</Paragraphs>
  <ScaleCrop>false</ScaleCrop>
  <Company/>
  <LinksUpToDate>false</LinksUpToDate>
  <CharactersWithSpaces>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江陵县2008年高考生物复习计划</dc:title>
  <dc:creator>pc</dc:creator>
  <cp:lastModifiedBy>DELL</cp:lastModifiedBy>
  <cp:revision>56</cp:revision>
  <cp:lastPrinted>2019-11-06T14:22:00Z</cp:lastPrinted>
  <dcterms:created xsi:type="dcterms:W3CDTF">2007-07-14T01:39:00Z</dcterms:created>
  <dcterms:modified xsi:type="dcterms:W3CDTF">2020-12-10T11:16:27Z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