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widowControl/>
        <w:spacing w:beforeAutospacing="0" w:afterAutospacing="0" w:line="360" w:lineRule="auto"/>
        <w:ind w:firstLine="1680"/>
        <w:jc w:val="both"/>
        <w:rPr>
          <w:rStyle w:val="10"/>
          <w:rFonts w:ascii="Times New Roman" w:hAnsi="Times New Roman" w:eastAsia="微软雅黑"/>
          <w:color w:val="333333"/>
          <w:spacing w:val="8"/>
          <w:sz w:val="25"/>
          <w:szCs w:val="25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32"/>
          <w:szCs w:val="32"/>
          <w:lang w:val="en-US" w:eastAsia="zh-CN" w:bidi="ar-SA"/>
        </w:rPr>
        <w:t>海南省2020年普通高中学业水平选择性考试</w:t>
      </w:r>
    </w:p>
    <w:p>
      <w:pPr>
        <w:pStyle w:val="21"/>
        <w:widowControl/>
        <w:spacing w:beforeAutospacing="0" w:afterAutospacing="0" w:line="360" w:lineRule="auto"/>
        <w:jc w:val="center"/>
        <w:rPr>
          <w:rStyle w:val="10"/>
          <w:rFonts w:ascii="Times New Roman" w:hAnsi="Times New Roman" w:eastAsia="微软雅黑"/>
          <w:color w:val="333333"/>
          <w:spacing w:val="8"/>
          <w:sz w:val="25"/>
          <w:szCs w:val="25"/>
          <w:lang w:val="en-US" w:eastAsia="zh-CN" w:bidi="ar-SA"/>
        </w:rPr>
      </w:pPr>
      <w:r>
        <w:rPr>
          <w:rStyle w:val="10"/>
          <w:rFonts w:ascii="Times New Roman" w:hAnsi="Times New Roman" w:eastAsia="黑体"/>
          <w:color w:val="333333"/>
          <w:spacing w:val="8"/>
          <w:sz w:val="44"/>
          <w:szCs w:val="44"/>
          <w:lang w:val="en-US" w:eastAsia="zh-CN" w:bidi="ar-SA"/>
        </w:rPr>
        <w:t>地 理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一、选择题：本题共20小题，每小题3分，共60分。在每小题给出的四个选项中，只有一项是符合题目要求的。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图1所示地区城镇化进程是我国的一个缩影。改革开放以来，该地区大量乡村人口进城务工、经商等，逐渐融入城镇生活。农业转移人口的城镇化是推进城镇化建设、全面建成小康社会的重要措施。十九大报告指出，坚持新的发展理念，着力推动8000余万农业转移人口成为城镇居民。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据此完成1</w:t>
      </w: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t>~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3题。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114300" distR="114300">
            <wp:extent cx="5272405" cy="2361565"/>
            <wp:effectExtent l="0" t="0" r="4445" b="635"/>
            <wp:docPr id="12" name="图片 1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1.该地区城镇化的特点是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A.多极化发展，不同等级城市同步扩张    B.一极多核，大中小城市数量增多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C.多核心发展，高等级城市迅速扩张      D.多极多核，城镇分散发展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2.与珠江三角洲地区相比，该地区城镇能够吸纳较多农业转移人口的主要原因是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A.城镇建设更加有序    B.地域文化特色更浓厚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C.对外开放程度更高    D.农业机械化水平更高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3.新时代促进农业转移人口城镇化的主要措施有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①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加强基本农田建设           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②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提高教育经费比重，扩大城镇教育规模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③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城乡统筹，加强就业培训     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④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提高城市落户门槛，加强户籍管理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⑤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大力发展中小城镇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①②③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   B.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①②④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   C.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②③⑤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   D.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③④⑤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图2示意某种沉积物的分布。该沉积物在小兴安岭等山地的西侧宽度较大，而东侧少见。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据此完成4</w:t>
      </w: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t>~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5题。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114300" distR="114300">
            <wp:extent cx="2247900" cy="1905000"/>
            <wp:effectExtent l="0" t="0" r="0" b="0"/>
            <wp:docPr id="13" name="图片 1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4.造成该沉积物在小兴安岭分布状况的主要作用是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A.冬季风堆积     B.泥石流堆积    C.冰水堆积     D.间歇性流水堆积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5.与西北地区相比，东北地区该沉积物结构紧实、钙含量普遍偏低的主要原因是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A.生物作用       B.冰川作用      C.酸雨作用     D.流水作用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稻城县位于四川省西部，属于大香格里拉旅游核心区。稻城亚丁机场（海拔4411米，图3）的兴建为旅客进出提供了便利的通道。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据此完成6</w:t>
      </w: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t>~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7题。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114300" distR="114300">
            <wp:extent cx="4276725" cy="4038600"/>
            <wp:effectExtent l="0" t="0" r="9525" b="0"/>
            <wp:docPr id="14" name="图片 1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图3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6.稻城人口稀少，在此兴建机场的主导区位因素是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A.地质和地貌      B.人口和经济     C.气象和水文    D.资源和文化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7.符合川西地区自然环境和地域文化特色的描述是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①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阳光明媚，酥油哈达迎客    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②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四季如春，寺庙钟声回落    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③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山高谷深，青稞美酒飘香    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④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山川形胜，马头零声悠场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①③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  B.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②③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   C.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①④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    D.</w:t>
      </w:r>
      <w:r>
        <w:rPr>
          <w:rStyle w:val="10"/>
          <w:rFonts w:hint="eastAsia" w:ascii="宋体" w:hAnsi="宋体" w:eastAsia="宋体" w:cs="宋体"/>
          <w:color w:val="333333"/>
          <w:spacing w:val="8"/>
          <w:sz w:val="21"/>
          <w:szCs w:val="21"/>
          <w:lang w:val="en-US" w:eastAsia="zh-CN" w:bidi="ar-SA"/>
        </w:rPr>
        <w:t>②④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图4示意陕西省安康市区城，这里是南水北调中线工程的重要水源涵养区，限制和禁止开发面积超过90%。过去，有的区县因为缺乏集中连片、适宜发展工业的土地，只能劈山造城、填河造地。为此，安康在市城内进行统筹，在允许开发、土地平坦的区县建立经济园区，供发展空间受限的区县开发和经营。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据此完成8</w:t>
      </w: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t>~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10题。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114300" distR="114300">
            <wp:extent cx="2000250" cy="2076450"/>
            <wp:effectExtent l="0" t="0" r="0" b="0"/>
            <wp:docPr id="15" name="图片 1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8.安康地区的河流所属的水系是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A.渭河   B.汉江    C.淮河    D.岷江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9.安康统筹发展经济园区的主要目的是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A.促进人才、资金、信息的流动      B.促使行政区划更加合理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C.实现生态保护与经济发展的双赢    D.减少区县之间的无序竞争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10.有利于该区域经济园区可持续发展的措施是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A.县改区，提升区域城镇化水平    B.共建共管，协同承接东部产业转移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C.调整行政区划，合并相关区县    D.增大发展空间受限区县的收益比例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2020年新型冠状病毒肆虐全球，中国政府相继向意大利米兰、塞尔维亚贝尔格莱德等地派出医疗专家，提供抗疫经验。6月8日上午，雨过天晴，主要由海南省医务人员组成的中国医疗专家组，携带大批医疗援助物责，飞抵孟加拉国首都达卡沙阿贯拉勒国际机场。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据此完成11</w:t>
      </w: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t>~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12题。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11.某地理老师看到海南医疗专家奔赴孟加拉国的新闻后，即兴创作对联“同风共雨，兄弟携手抗新冠；一河相通，我首你尾心相连”。“同风”“一河”分别指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A.西南季风、雅鲁藏布江——布拉马普特拉河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B.西南季风、澜沧江——湄公河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C.东南季风、怒江——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0" distR="0">
            <wp:extent cx="254000" cy="254000"/>
            <wp:effectExtent l="0" t="0" r="0" b="0"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萨尔温江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D.东南季风、元江——红河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12.与米兰（45.5°N，92°E；地中海气候）相比，导致贝尔格莱德（44.7°N，20.5°E；温带大陆性气候）冬季均温更低的主要因素是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A.纬度     B.副高     C.洋流     D.地形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图5示意从赤道到极地的典型植被景观类型。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据此完成13</w:t>
      </w: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t>~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14题。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114300" distR="114300">
            <wp:extent cx="4457700" cy="1476375"/>
            <wp:effectExtent l="0" t="0" r="0" b="9525"/>
            <wp:docPr id="16" name="图片 1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13.一年中景观外貌四季变化鲜明的植被类型是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A.甲    B.乙    C.丙    D.丁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14.下列山地中有丁植被类型分布的是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A.巫山    B.五指山   C.富士山   D.大分水岭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图6示意鄱阳湖入湖和出湖年输沙量的年际变化。2003年三峡工程运营后，鄱阳湖水量、泥沙等水情变化明显，对湖区供水、灌溉、航运等造成重大影响。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据此完成15</w:t>
      </w: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t>~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16题。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114300" distR="114300">
            <wp:extent cx="3400425" cy="1847850"/>
            <wp:effectExtent l="0" t="0" r="9525" b="0"/>
            <wp:docPr id="17" name="图片 1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15.三峡工程运营前，鄱阳湖区的泥沙淤积和侵蚀情况是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A.侵蚀为主      B.淤积为主    C.侵蚀量和淤积量相当    D.无法判断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16.三峡工程运营后，鄱阳湖的水域面积与湖底高程的变化分别是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A.增大升高    B.增大下降    C.减小升高    D.减小下降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在热带气旋移动过程中，副热带高压是一个重要的牵引力。图7示意近地面风场与气压场的关系，图中等压距为5百帕。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据此完成17</w:t>
      </w: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t>~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18题。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114300" distR="114300">
            <wp:extent cx="3362325" cy="1990725"/>
            <wp:effectExtent l="0" t="0" r="9525" b="9525"/>
            <wp:docPr id="18" name="图片 1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17.M线的气压值、N处的天气状况分别为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A.1000   晴朗    B.1000   阴雨    C.1010   晴朗    D.1010  阴雨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18.如果P是一个台风，它最有可能的行进方向是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A.偏东    B.偏西    C.偏南    D.偏北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读表1“世界永久性草地和牧场面积前十位的国家”（2000年）。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据此完成19</w:t>
      </w: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t>~</w:t>
      </w: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20题。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114300" distR="114300">
            <wp:extent cx="4800600" cy="2390775"/>
            <wp:effectExtent l="0" t="0" r="0" b="9525"/>
            <wp:docPr id="19" name="图片 1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19.与澳大利亚、中国等国家相比，俄罗斯永久性草地和牧场面积比重较小的根本原因是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A.海拔高      B.降水多    C.寒流影响范围广    D.纬度高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20.某乳企计划在沙特阿拉伯兴建驼奶基地，其生产用水最可能的来源是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A.人工降雨   B.修建水库    C.海水淡化   D.跨流域调水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黑体"/>
          <w:color w:val="333333"/>
          <w:spacing w:val="8"/>
          <w:sz w:val="21"/>
          <w:szCs w:val="21"/>
          <w:lang w:val="en-US" w:eastAsia="zh-CN" w:bidi="ar-SA"/>
        </w:rPr>
        <w:t>二、非选择题：本题共3小题，共40分。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21.阅读图文材料，完成下列要求。（20分）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材料一：太平洋西南部群岛国巴布亚新几内亚，面积约46万平方千米，人口约600万，多集中在沿海平原。主陆多山，西南部和沿海有平原和沼泽低地，火山、地震活动须繁，森林覆盖率超过80%。目前，该国经济较为落后，以初级产品（矿石、椰油、椰干等）输出为主。响应“一带一路”倡议，巴布亚新几内亚为了提高经济发展水平，希望与中国开展多方面合作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材料二：图8示意巴布亚新几内亚主要岛屿。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114300" distR="114300">
            <wp:extent cx="4886325" cy="3286125"/>
            <wp:effectExtent l="0" t="0" r="9525" b="9525"/>
            <wp:docPr id="7" name="图片 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（1）说出该国多火山、地震的原因。（4分）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（2）判断甲地和乙地哪一个更适合种植水稻，并说明理由。（8分）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（3）海南某企业计划到该国建立椰子种植和加工基地，你是否赞同？请表明你的观点并说明理由。（8分）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22.阅读图文材料，完成下列要求。（10分）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天然橡胶生产属于劳动密集型产业。20世纪80年代开始，海南橡胶种植面积快速增长，现已成为中国最大的橡胶种植区。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图9示意在橡胶林下种植高温型食用菌的生产模式，该模式具有较高的经济效益和生态效益。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drawing>
          <wp:inline distT="0" distB="0" distL="114300" distR="114300">
            <wp:extent cx="5273675" cy="1594485"/>
            <wp:effectExtent l="0" t="0" r="0" b="5715"/>
            <wp:docPr id="22" name="图片 2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图9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据此评价该生产模式在海南推广的条件。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23.阅读材料，完成下列要求。（10分）</w:t>
      </w:r>
    </w:p>
    <w:p>
      <w:pPr>
        <w:pStyle w:val="21"/>
        <w:widowControl/>
        <w:spacing w:beforeAutospacing="0" w:afterAutospacing="0" w:line="360" w:lineRule="auto"/>
        <w:jc w:val="both"/>
        <w:rPr>
          <w:rStyle w:val="10"/>
          <w:rFonts w:ascii="Times New Roman" w:hAnsi="Times New Roman" w:eastAsia="微软雅黑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楷体"/>
          <w:color w:val="333333"/>
          <w:spacing w:val="8"/>
          <w:sz w:val="21"/>
          <w:szCs w:val="21"/>
          <w:lang w:val="en-US" w:eastAsia="zh-CN" w:bidi="ar-SA"/>
        </w:rPr>
        <w:t>我国将普遍推行垃分类制度，推动垃圾减量、资源循环利用，实现中华民族永续发展。现阶段，生活垃圾分类是大势所趋。</w:t>
      </w:r>
    </w:p>
    <w:p>
      <w:pPr>
        <w:pStyle w:val="21"/>
        <w:widowControl/>
        <w:spacing w:beforeAutospacing="0" w:afterAutospacing="0" w:line="360" w:lineRule="auto"/>
        <w:ind w:firstLine="420"/>
        <w:jc w:val="both"/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333333"/>
          <w:spacing w:val="8"/>
          <w:sz w:val="21"/>
          <w:szCs w:val="21"/>
          <w:lang w:val="en-US" w:eastAsia="zh-CN" w:bidi="ar-SA"/>
        </w:rPr>
        <w:t>请结合热带海岛环境条件说明在海南实施生活垃圾分类的理由。</w:t>
      </w:r>
    </w:p>
    <w:p>
      <w:pPr>
        <w:pStyle w:val="22"/>
        <w:spacing w:line="360" w:lineRule="auto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6363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 (Web)"/>
    <w:basedOn w:val="22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2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pn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2020-12-03T08:26:22Z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2052-11.1.0.10132</vt:lpwstr>
  </property>
</Properties>
</file>