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2020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～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2021学年度第一学期期末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校联考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高三政治</w:t>
      </w:r>
    </w:p>
    <w:p>
      <w:pPr>
        <w:pStyle w:val="BodyText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出题学校：</w:t>
      </w:r>
      <w:r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宝坻一中</w:t>
      </w:r>
      <w:r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四十七中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50"/>
        <w:jc w:val="center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= 1 \* ROMAN </w:instrText>
      </w:r>
      <w:r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</w:t>
      </w:r>
      <w:r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卷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本卷共15题，每题3分，共45分。在每题给出的四个选项中，只有一项最符合题目要求。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left="315" w:hanging="315" w:hanging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2020年10月8日，深圳市人民政府联合中国人民银行开展数字人民币红包试点。数字人民币是由中国人民银行发行的数字形式的法定货币，由指定运营机构参与运营并向公众兑换，其功能属性与纸币相同，可视为纸币的数字化形态。数字人民币的使用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①提高了支付便捷性，助推数字经济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②将会逐步取代现金，防止通货膨胀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③以国家信用为支撑，杜绝投资风险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④利于监控货币流通，提供决策依据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①③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①④ 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②③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②④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left="315" w:hanging="315" w:hangingChars="150"/>
        <w:jc w:val="left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2020年以来，央行先后三次降低存款准备金率，并对部分中小银行定向降低存款准备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金率，累计释放资金约1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pacing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7万亿元。在不考虑其他因素条件下，由此产生的积极影响有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①增加市场流动性--支持实体经济--促进经济持续向好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②降低银行利率--减轻企业负担--生产性消费能力增强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③增加信贷资金--缓解企业资金压力--激发企业活力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④改善融资环境--缓解就业压力--刺激新型基础设施建设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A．①③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①④  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②③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②④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left="315" w:hanging="315" w:hangingChars="150"/>
        <w:jc w:val="left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2020年10月12日，中国广电网络股份有限公司正式成立，成为继中国移动、中国联通、中国电信之外的第四大电信运营商，是推进全国有线电视网络整合和广电5G 建设一体化发展迈出的重要一步。中国广电网络股份有限公司成立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①整合有线电视行业，推动行业转型升级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pacing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pacing w:val="-6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②带来更充分的竞争，形成新的行业格局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③改变企业组织形式，降低市场经营风险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④实现融合创新，推动经济高速发展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①②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B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①④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C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②③ 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③④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left="315" w:hanging="315" w:hangingChars="150"/>
        <w:jc w:val="left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新修订的《养老机构管理办法》，2020年11月1日起施行。《办法》从养老机构的功能定位到备案管理、运营管理、服务规范、监督检查等各方面，对养老机构服务中存在的问题予以规范，增加养老机构办理备案的便利程度，提升养老机构的公共卫生应急能力，完善安全保障工作要求。该修改旨在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①减轻政府财政负担，鼓励社会力量承担政府职能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②规范养老机构服务，提高养老服务能力和服务质量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③加强养老机构管理，推动养老服务业健康有序发展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④推动养老服务改革，提高养老服务业的经济效益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6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A．①③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①④ 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②③ 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②④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315" w:hanging="315" w:hangingChars="150"/>
        <w:jc w:val="left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赵金龙同志现任某村党总支书记，是县、市人大代表。二十年来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他时时处处想着人民群众，努力做好代表工作，认真履行代表职责。他努力学习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明确职责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提高自身素质。在工作中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他按照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当代表、尽职贵、作贡献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的原则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认真为人民办事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与百姓保持密切的联系。这说明作为身在基层的人大代表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应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①审议各项议案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表决各项决定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审慎行使决定权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②有权依法处理和解决人民群众的各种问题和矛盾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③与人民群众保持密切联系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反映人民的诉求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树立义务意识，提高履职能力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①②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①④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②③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③④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315" w:hanging="315" w:hangingChars="150"/>
        <w:jc w:val="left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eastAsia="宋体" w:cs="Times New Roman" w:hint="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突如其来的新冠肺炎疫情，改变了世界经济运行态势，全球大多数经济体都面临衰退风险。世界银行预计今年全球经济将下滑5</w:t>
      </w:r>
      <w:r>
        <w:rPr>
          <w:rFonts w:eastAsia="宋体" w:cs="Times New Roman" w:hint="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2%，是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二战以来最严重的经济衰退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。面对世界经济未来预期的不确定性上升，举办服贸会展现了中国迈出推进国际合作的一大步。由此可见，举办服贸会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①基于国家间的共同利益是国家合作的基础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②契合联合国的宗旨和当今和平发展时代的主题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③符合我国维护世界和平、促进共同发展的外交立场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④显现出我国在谋求各国共同发展中促进自身发展的坚定决心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A</w:t>
      </w:r>
      <w:r>
        <w:rPr>
          <w:rFonts w:eastAsia="宋体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①②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B</w:t>
      </w:r>
      <w:r>
        <w:rPr>
          <w:rFonts w:eastAsia="宋体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③④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C</w:t>
      </w:r>
      <w:r>
        <w:rPr>
          <w:rFonts w:eastAsia="宋体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②③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D</w:t>
      </w:r>
      <w:r>
        <w:rPr>
          <w:rFonts w:eastAsia="宋体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①④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315" w:hanging="315" w:hangingChars="150"/>
        <w:jc w:val="left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pacing w:val="0"/>
          <w:w w:val="10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2020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-22"/>
          <w:sz w:val="21"/>
          <w:szCs w:val="21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9月，远在非洲的毛里求斯举行了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美丽中国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主题开放日活动，当地师生一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0"/>
          <w:w w:val="100"/>
          <w:sz w:val="21"/>
          <w:szCs w:val="21"/>
          <w14:textFill>
            <w14:solidFill>
              <w14:schemeClr w14:val="tx1"/>
            </w14:solidFill>
          </w14:textFill>
        </w:rPr>
        <w:t>起观看了影片《超乎想象的中国》，中国的历史文化和人文风情深深地吸引了孩子们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0"/>
          <w:w w:val="10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0"/>
          <w:w w:val="100"/>
          <w:sz w:val="21"/>
          <w:szCs w:val="21"/>
          <w14:textFill>
            <w14:solidFill>
              <w14:schemeClr w14:val="tx1"/>
            </w14:solidFill>
          </w14:textFill>
        </w:rPr>
        <w:t>这启示我们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①文化既是民族的，也是世界的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②要主动传播中华文化，增强其国际影响力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③文化多样性是文化创新的基础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④中华文化是可以获得其他民族认同的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A．①②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B．①④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C．②③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D．③④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315" w:hanging="315" w:hangingChars="150"/>
        <w:jc w:val="left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铁画，也称铁花，安徽芜湖特产，为中国独具风格的非物质文化遗产。铁画是以低炭钢为原料，将铁片和秋线假打焊接成的各种装饰面。它将民间剪纸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雕刻、镶嵌等各种艺术的技法溶为一体，采用中国画章法，黑白对比，虚实结合，另有一番情趣。可是有人认为，铁画在今天的作用已经微乎其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微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，请你用下列关键词进行反驳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文化传承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文化借鉴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文化包容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文化影响     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hint="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文化传承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文化自信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文化传播    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hint="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文化借鉴      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文化自信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文化传播     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cs="Times New Roman" w:hint="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 xml:space="preserve">文化包容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文化发展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315" w:hanging="315" w:hangingChars="150"/>
        <w:jc w:val="left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关公是忠义形象的代表，在名利、富贵、劫难面前，保持铁骨铮铮的气节，他的人格力量让后世为之动容，也让后人争相效仿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如今，忠义精神也有了新的解读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对于军人，忠义的精量是守卫国土；对于法官，忠义的精髓是公正决断；对于医生，忠义的精神是妙手仁心</w:t>
      </w:r>
      <w:r>
        <w:rPr>
          <w:rFonts w:ascii="宋体" w:eastAsia="宋体" w:hAnsi="宋体" w:cs="宋体"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这体现了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①对传统文化的承袭是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时代精神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的根基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②传统文化在世代相传中保留着基本特征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③大众传媒具有选择、传递、创造文化的特定功能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④源远流长，博大精深的中华文化积淀着中华民族的精神追求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315" w:firstLineChars="15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①②    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①③ 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②④  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③④</w:t>
      </w:r>
    </w:p>
    <w:p>
      <w:pPr>
        <w:pStyle w:val="NoSpacing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hanging="420" w:hanging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pacing w:val="5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2020年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以《隐秘的角落》《重生》《奇门遁甲》等为代表的一批网络影视剧，因制作精良而获得较高的口碑。这些网络影视剧的创作者们，大量投入现实主义领域，将对社会议题的关注、真实生活的观察注入到作品中，并在这些现实性的创作中，始终贯彻着主流价值观。这些网络影视剧的成功制作表明</w:t>
      </w:r>
    </w:p>
    <w:p>
      <w:pPr>
        <w:pStyle w:val="NoSpacing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网络使文化资源的传递方式发生了根本变化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NoSpacing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社会实践是优秀文化创作的源泉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③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当今时代人们的审美观念趋于一致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要坚持中国特色社会主义文化发展道路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pacing w:val="5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①③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pacing w:val="5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pacing w:val="5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①④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pacing w:val="5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pacing w:val="5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②③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pacing w:val="5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pacing w:val="5"/>
          <w:sz w:val="21"/>
          <w:szCs w:val="21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5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②④</w:t>
      </w:r>
    </w:p>
    <w:p>
      <w:pPr>
        <w:pStyle w:val="NoSpacing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hanging="420" w:hanging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11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善于运用马克思主义哲学指导实践活动，是中国共产党的鲜明特征。马克思主义哲学之所以能指导实践活动，是因为它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①提供科学的世界观和方法论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inline>
            <wp:extent cx="254000" cy="254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6377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②提供解决问题的具体方案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③实现世界观和方法论的统一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-6"/>
          <w:sz w:val="21"/>
          <w:szCs w:val="21"/>
          <w14:textFill>
            <w14:solidFill>
              <w14:schemeClr w14:val="tx1"/>
            </w14:solidFill>
          </w14:textFill>
        </w:rPr>
        <w:t>在实践的基础上实现了科学性和革命性的统一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①②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①④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②③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③④</w:t>
      </w:r>
    </w:p>
    <w:p>
      <w:pPr>
        <w:pStyle w:val="NoSpacing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420" w:hanging="420" w:hanging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</w:t>
      </w:r>
      <w:r>
        <w:rPr>
          <w:rFonts w:eastAsia="宋体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2020年全面建成小康社会，是</w:t>
      </w:r>
      <w:r>
        <w:rPr>
          <w:rFonts w:eastAsia="宋体" w:cs="Times New Roman" w:hint="eastAsia"/>
          <w:b/>
          <w:bCs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两个100年奋斗目标的第一个百年奋斗目标，是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我们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党向人民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向历史作出的庄严承诺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决胜全面小康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需要</w:t>
      </w:r>
      <w:r>
        <w:rPr>
          <w:rFonts w:eastAsia="宋体" w:cs="Times New Roman" w:hint="eastAsia"/>
          <w:b/>
          <w:bCs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冲刺精神</w:t>
      </w:r>
      <w:r>
        <w:rPr>
          <w:rFonts w:eastAsia="宋体" w:cs="Times New Roman" w:hint="eastAsia"/>
          <w:b/>
          <w:bCs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，习近平强调，冲刺是咬紧牙关的时候，是屏息聚力的时候，是比拼意志的时候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哲学上讲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0"/>
          <w:sz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0"/>
          <w:sz w:val="21"/>
          <w14:textFill>
            <w14:solidFill>
              <w14:schemeClr w14:val="tx1"/>
            </w14:solidFill>
          </w14:textFill>
        </w:rPr>
        <w:t>这是因为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①意识对人体生理活动具有调节和控制作用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②正确的思想意识能推动事物的发展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③意识具有直接现实性，可以促进目标的实现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④意识具有主动创造性，可以创造出新的东西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A</w:t>
      </w:r>
      <w:r>
        <w:rPr>
          <w:rFonts w:eastAsia="宋体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①②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eastAsia="宋体" w:cs="Times New Roman" w:hint="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B</w:t>
      </w:r>
      <w:r>
        <w:rPr>
          <w:rFonts w:eastAsia="宋体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①③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eastAsia="宋体" w:cs="Times New Roman" w:hint="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C</w:t>
      </w:r>
      <w:r>
        <w:rPr>
          <w:rFonts w:eastAsia="宋体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②④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eastAsia="宋体" w:cs="Times New Roman" w:hint="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eastAsia="宋体" w:cs="Times New Roman" w:hint="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D</w:t>
      </w:r>
      <w:r>
        <w:rPr>
          <w:rFonts w:eastAsia="宋体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③④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133985</wp:posOffset>
            </wp:positionV>
            <wp:extent cx="1676400" cy="986790"/>
            <wp:effectExtent l="0" t="0" r="0" b="3810"/>
            <wp:wrapNone/>
            <wp:docPr id="2" name="图片 3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723994" name="图片 3" descr="高中试卷网 http://sj.fjjy.or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>
                      <a:grayscl/>
                      <a:lum bright="-12000"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13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右图漫画《蜻蜓点水》讽刺某些干部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官僚主义，忽视实践的价值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急功近利，只注重质的飞跃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冒进主义，未关注量的积累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浅尝辄止，犯经验主义错误</w:t>
      </w:r>
    </w:p>
    <w:p>
      <w:pPr>
        <w:pStyle w:val="NoSpacing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 w:hanging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14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新型多功能基因组编辑技术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先导编辑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，可以避免DNA双链断裂，原则上可以修正约89%的已知与疾病相关的人类遗传变异体，但是已知的约75000个人类病理性遗传变异体大部分都无法得到有效修正，因此该技术还需要开展进一步的研究。这说明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①人类的基因编辑技术在无限地接近终极的真理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②先导编辑技术能使观念的存在变为现实的存在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③人类对基因编辑的认识是无限的，没有不可认识之物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④先导编辑技术不能让变异体都得到有效修正说明认识具有反复性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A．①③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①④  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②③    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③④</w:t>
      </w:r>
    </w:p>
    <w:p>
      <w:pPr>
        <w:pStyle w:val="NoSpacing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 w:hanging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15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面对新型肺炎，84岁的钟南山教授临危受命，带领团队一边进行临床救治一边开展科研攻关，为疫情防控作出巨大贡献。在获得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共和国勋章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后，他又主动请战继续投身抗疫工作。钟南山的事迹告诉我们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①实现人生价值需要价值观的指引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②要在个人与社会的统一中实现价值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③人既是价值的创造者，也是价值的享受者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④充分发挥主观能动性是实现人生价值的根本途径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A．①③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B．①④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C．②③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D．②④</w:t>
      </w:r>
    </w:p>
    <w:p>
      <w:pPr>
        <w:pStyle w:val="NoSpacing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after="120" w:afterLines="50" w:line="240" w:lineRule="auto"/>
        <w:jc w:val="center"/>
        <w:textAlignment w:val="auto"/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instrText xml:space="preserve"> = 2 \* ROMAN </w:instrText>
      </w:r>
      <w:r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II</w:t>
      </w:r>
      <w:r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黑体" w:eastAsia="黑体" w:hAnsi="黑体" w:cs="黑体"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卷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16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阅读材料，回答问题。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center"/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2020年10月26日至29日在北京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召开的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十九届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中全会审议通过了《中共中央关于制定国民经济和社会发展第十四个五年规划和二O三五年远景目标的建议》。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center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材料一：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五年规划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是我们党治国理政的重要方式，一部规划史，也是一部发展史。自1953年来，五年规划以其神奇的力量，诠释着中国制度和中国之治独特而巨大的魅力。辉煌的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十三五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收官在即。审时度势，我们已进入两个百年历史交汇期，民生保障不再是简单托底数、满足基本需求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同时，我们又处于要素资源稀缺争夺期、动能转换风险管理期、卡脖子高技术猛攻期……为此，需要出台符合新时代、迎接新挑战、实现新转变的新规划，为开启第二个百年奋斗目标新征程擘画蓝图。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1</w:t>
      </w:r>
      <w:r>
        <w:rPr>
          <w:rFonts w:eastAsia="宋体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-6"/>
          <w:sz w:val="21"/>
          <w14:textFill>
            <w14:solidFill>
              <w14:schemeClr w14:val="tx1"/>
            </w14:solidFill>
          </w14:textFill>
        </w:rPr>
        <w:t>请从《经济生活》角度，阐释为开启第二个百年奋斗目标新征程擘画蓝图的意义。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-6"/>
          <w:sz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-6"/>
          <w:sz w:val="21"/>
          <w:lang w:val="en-US" w:eastAsia="zh-CN"/>
          <w14:textFill>
            <w14:solidFill>
              <w14:schemeClr w14:val="tx1"/>
            </w14:solidFill>
          </w14:textFill>
        </w:rPr>
        <w:t>11分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pacing w:val="-6"/>
          <w:sz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center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center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center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材料二：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细读公报，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人民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二字贯穿始终。十九届五中全会公报20多次提到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人民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，字里行间洋溢着浓浓的民生情怀。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改善人民生活品质，不断增强人民群众获得感、幸福感、安全感，促进人的全面发展和社会全面进步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以满足人民日益增长的美好生活需要为根本目的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坚持以人民为中心，坚持新发展理念，坚持深化改革开放，坚持系统观念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改善人民生活品质，提高社会建设水平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宋体" w:eastAsia="宋体" w:hAnsi="宋体" w:cs="宋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……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增进民生福祉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”“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改善人民生活品质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将成为贯穿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十四五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时期的一条主线。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525" w:hanging="525" w:hangingChars="250"/>
        <w:jc w:val="left"/>
        <w:textAlignment w:val="center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结合材料，运用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政治生活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知识，分析为什么</w:t>
      </w:r>
      <w:r>
        <w:rPr>
          <w:rFonts w:eastAsia="宋体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人民</w:t>
      </w:r>
      <w:r>
        <w:rPr>
          <w:rFonts w:eastAsia="宋体" w:cs="Times New Roman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二字贯穿党的十九届五中全会公报始终。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10分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center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center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center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center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center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材料三：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全会提出，坚持创新在我国现代化建设全局中的核心地位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把科技自立自强作为国家发展的战略支撑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科技自立自强与开放合作不是对立关系，而是辩证统一的。中国的科技创新从来都不是封闭式的创新，今后也不会关起门来自己搞创新，中国扩大科技开放合作的步伐将会越迈越大。面向未来，我们要充分发挥人民群众的力量，积极投身于发展中国特色社会主义的伟大实践，不断发展科技，提高国家文化软实力，促进满足人民文化需求和增强人民精神力量相统一，力争到2035年建成文化强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525" w:hanging="525" w:hangingChars="250"/>
        <w:jc w:val="left"/>
        <w:textAlignment w:val="center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结合材料，运用文化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发展实质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有关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知识，说明我国应如何在科技领域取得重大创新成果？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9分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．（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12分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阅读材料，回答问题。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jc w:val="left"/>
        <w:textAlignment w:val="center"/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2020年11月24日，嫦娥五号探测器在中国文昌航天发射场发射成功。这是我国探月工程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绕、落、回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三步走中，第三步的首次任务。嫦娥五号将经历11个飞行阶段，20余天的在轨飞行过程，有望创造我国航天史上的5个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首次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。从立项到发射，嫦娥五号任务团队围绕诸多关键核心技术和难点，综合考虑轨道器、返回器、着陆器、上升器等组成与15个分系统经历了10年的艰辛奋战，联合参研单位集中最强阵容攻克难关，确保了嫦娥五号探测器方案设计合理，各项功能性能满足任务的要求。</w:t>
      </w:r>
      <w:r>
        <w:rPr>
          <w:rFonts w:ascii="楷体" w:eastAsia="楷体" w:hAnsi="楷体" w:cs="楷体" w:hint="eastAsia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这是几代航天人精诚团结、开拓创新、锐意进取，克服了巨大的艰辛和困难才取得的成就，真可谓来之不易。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结合上述材料，运用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唯物辩证法的总特征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的有关知识分析说明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嫦娥五号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成功发射的原因。（12分）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ascii="Times New Roman" w:eastAsia="宋体" w:hAnsi="Times New Roman" w:cs="Times New Roman" w:hint="eastAsia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分）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阅读材料，回答问题。</w:t>
      </w:r>
    </w:p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生态治理，道阻且长，行则将至。随着城市化进程加快，生活垃圾处理日益成为生态治理的重要议题。20世纪80年代以来，我国解决生活垃圾问题的政策大致经过了一个演进历程：</w:t>
      </w:r>
    </w:p>
    <w:tbl>
      <w:tblPr>
        <w:tblStyle w:val="TableNormal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78"/>
        <w:gridCol w:w="1709"/>
        <w:gridCol w:w="4923"/>
      </w:tblGrid>
      <w:tr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/>
        </w:trPr>
        <w:tc>
          <w:tcPr>
            <w:tcW w:w="669" w:type="dxa"/>
            <w:noWrap w:val="0"/>
            <w:vAlign w:val="center"/>
          </w:tcPr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阶段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突出问题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10" w:firstLineChars="100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具体做法</w:t>
            </w:r>
          </w:p>
        </w:tc>
        <w:tc>
          <w:tcPr>
            <w:tcW w:w="4923" w:type="dxa"/>
            <w:noWrap w:val="0"/>
            <w:vAlign w:val="center"/>
          </w:tcPr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890" w:firstLineChars="900"/>
              <w:jc w:val="both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政策规划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/>
        </w:trPr>
        <w:tc>
          <w:tcPr>
            <w:tcW w:w="669" w:type="dxa"/>
            <w:noWrap w:val="0"/>
            <w:vAlign w:val="center"/>
          </w:tcPr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政策萌芽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kern w:val="0"/>
                <w:sz w:val="21"/>
                <w14:textFill>
                  <w14:solidFill>
                    <w14:schemeClr w14:val="tx1"/>
                  </w14:solidFill>
                </w14:textFill>
              </w:rPr>
              <w:t>垃圾增长垃圾污染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焚烧与填埋</w:t>
            </w:r>
          </w:p>
        </w:tc>
        <w:tc>
          <w:tcPr>
            <w:tcW w:w="4923" w:type="dxa"/>
            <w:noWrap w:val="0"/>
            <w:vAlign w:val="center"/>
          </w:tcPr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发布行政命令，制定专项法规，实行政府管制</w:t>
            </w:r>
          </w:p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《城市市容环境卫生管理条例（试行）》（1982年）、《城市生活垃圾管理办法》（1993年）等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/>
        </w:trPr>
        <w:tc>
          <w:tcPr>
            <w:tcW w:w="669" w:type="dxa"/>
            <w:noWrap w:val="0"/>
            <w:vAlign w:val="center"/>
          </w:tcPr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初步发展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垃圾填埋安全隐患规划选址不合理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提高垃圾处理技术和能力，完善市场监督</w:t>
            </w:r>
          </w:p>
        </w:tc>
        <w:tc>
          <w:tcPr>
            <w:tcW w:w="4923" w:type="dxa"/>
            <w:noWrap w:val="0"/>
            <w:vAlign w:val="center"/>
          </w:tcPr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纳入整体规划，出台法律法规，制定技术规范和行业标准，进行政策试点</w:t>
            </w:r>
          </w:p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《固体废物污染环境防治法）（简称《固废法》）（1995年）、城镇污染综合治理纳入《国民经济和社会发展第十个五年计划纲要》等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/>
        </w:trPr>
        <w:tc>
          <w:tcPr>
            <w:tcW w:w="669" w:type="dxa"/>
            <w:noWrap w:val="0"/>
            <w:vAlign w:val="center"/>
          </w:tcPr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转型调整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无害化处理水平与垃圾增速不匹配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垃圾处理产业化，鼓励社会资本参与，开展公众环保教育，扩大社会监督</w:t>
            </w:r>
          </w:p>
        </w:tc>
        <w:tc>
          <w:tcPr>
            <w:tcW w:w="4923" w:type="dxa"/>
            <w:noWrap w:val="0"/>
            <w:vAlign w:val="center"/>
          </w:tcPr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出台法律法规，实行政府采购、特许经营和市场准入，保障信息公开</w:t>
            </w:r>
          </w:p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《固废法》（2004年首次修订）、新版《城市生活垃圾管理办法》（2007年）等监督</w:t>
            </w:r>
          </w:p>
        </w:tc>
      </w:tr>
      <w:tr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/>
        </w:trPr>
        <w:tc>
          <w:tcPr>
            <w:tcW w:w="669" w:type="dxa"/>
            <w:noWrap w:val="0"/>
            <w:vAlign w:val="center"/>
          </w:tcPr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深化发展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垃圾分类不到位、资源利用率低</w:t>
            </w:r>
          </w:p>
        </w:tc>
        <w:tc>
          <w:tcPr>
            <w:tcW w:w="1709" w:type="dxa"/>
            <w:noWrap w:val="0"/>
            <w:vAlign w:val="center"/>
          </w:tcPr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明确46个城市先行实施生活垃圾强制分类，调动社会团体和公众参与，鼓励志愿活动</w:t>
            </w:r>
          </w:p>
        </w:tc>
        <w:tc>
          <w:tcPr>
            <w:tcW w:w="4923" w:type="dxa"/>
            <w:noWrap w:val="0"/>
            <w:vAlign w:val="center"/>
          </w:tcPr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出台法律法规，开展环保督查，政策试点不断扩大，进行舆论宣传和教育引导，推行生活垃圾分类制度</w:t>
            </w:r>
          </w:p>
          <w:p>
            <w:pPr>
              <w:pStyle w:val="NoSpacing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eastAsia="宋体" w:hAnsi="Times New Roman" w:cs="Times New Roman" w:hint="default"/>
                <w:b/>
                <w:bCs/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《城市生活垃圾管理办法》（2015年修正）、北京和上海等地出台地方性生活垃圾管理条例，《固废法》（2020年修订）等</w:t>
            </w:r>
          </w:p>
        </w:tc>
      </w:tr>
    </w:tbl>
    <w:p>
      <w:pPr>
        <w:pStyle w:val="NoSpacing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Lines="100" w:line="300" w:lineRule="auto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结合材料，从哲学角度说明政策优化需要注意哪些方面。（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both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525" w:hanging="525" w:hangingChars="250"/>
        <w:jc w:val="both"/>
        <w:textAlignment w:val="auto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2020年12月1日，《天津市生活垃圾管理条例》正式施行。垃圾分类已作为天津市全体居民和企事业单位的</w:t>
      </w:r>
      <w:r>
        <w:rPr>
          <w:rFonts w:eastAsia="宋体" w:cs="Times New Roman"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法定责任</w:t>
      </w:r>
      <w:r>
        <w:rPr>
          <w:rFonts w:cs="Times New Roman" w:hint="eastAsia"/>
          <w:b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请为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学校如何提高学生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垃圾分类</w:t>
      </w:r>
      <w:r>
        <w:rPr>
          <w:rFonts w:cs="Times New Roman" w:hint="eastAsia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认</w:t>
      </w:r>
      <w:bookmarkStart w:id="0" w:name="_GoBack"/>
      <w:bookmarkEnd w:id="0"/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识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提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出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eastAsia="zh-CN"/>
          <w14:textFill>
            <w14:solidFill>
              <w14:schemeClr w14:val="tx1"/>
            </w14:solidFill>
          </w14:textFill>
        </w:rPr>
        <w:t>两条具体建议。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  <w:t>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rPr>
          <w:rFonts w:ascii="Times New Roman" w:eastAsia="宋体" w:hAnsi="Times New Roman" w:cs="Times New Roman" w:hint="default"/>
          <w:b/>
          <w:bCs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sectPr>
      <w:footerReference w:type="default" r:id="rId7"/>
      <w:pgSz w:w="10431" w:h="14740"/>
      <w:pgMar w:top="1134" w:right="1134" w:bottom="1134" w:left="1134" w:header="851" w:footer="992" w:gutter="0"/>
      <w:pgNumType w:fmt="decimal" w:start="1"/>
      <w:cols w:num="1" w:space="0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Footer"/>
                            <w:jc w:val="center"/>
                            <w:rPr>
                              <w:rFonts w:ascii="黑体" w:eastAsia="黑体" w:hAnsi="黑体" w:cs="黑体" w:hint="eastAsia"/>
                              <w:b/>
                              <w:bCs/>
                              <w:lang w:eastAsia="zh-CN"/>
                            </w:rPr>
                          </w:pP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lang w:eastAsia="zh-CN"/>
                            </w:rPr>
                            <w:t>重点校期末联考高三政治</w:t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lang w:eastAsia="zh-CN"/>
                            </w:rPr>
                            <w:t xml:space="preserve"> 页（共 </w:t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黑体" w:eastAsia="黑体" w:hAnsi="黑体" w:cs="黑体" w:hint="eastAsia"/>
                              <w:b/>
                              <w:bCs/>
                              <w:lang w:eastAsia="zh-CN"/>
                            </w:rPr>
                            <w:t xml:space="preserve"> 页）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o:spid="_x0000_s2049" type="#_x0000_t202" style="width:2in;height:2in;margin-top:0;margin-left:0;mso-height-relative:page;mso-position-horizontal:center;mso-position-horizontal-relative:margin;mso-width-relative:page;mso-wrap-style:none;position:absolute;z-index:251659264" coordsize="21600,21600" filled="f" stroked="f">
              <o:lock v:ext="edit" aspectratio="f"/>
              <v:textbox style="mso-fit-shape-to-text:t" inset="0,0,0,0">
                <w:txbxContent>
                  <w:p>
                    <w:pPr>
                      <w:pStyle w:val="Footer"/>
                      <w:jc w:val="center"/>
                      <w:rPr>
                        <w:rFonts w:ascii="黑体" w:eastAsia="黑体" w:hAnsi="黑体" w:cs="黑体" w:hint="eastAsia"/>
                        <w:b/>
                        <w:bCs/>
                        <w:lang w:eastAsia="zh-CN"/>
                      </w:rPr>
                    </w:pPr>
                    <w:r>
                      <w:rPr>
                        <w:rFonts w:ascii="黑体" w:eastAsia="黑体" w:hAnsi="黑体" w:cs="黑体" w:hint="eastAsia"/>
                        <w:b/>
                        <w:bCs/>
                        <w:lang w:eastAsia="zh-CN"/>
                      </w:rPr>
                      <w:t>重点校期末联考高三政治</w:t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lang w:val="en-US" w:eastAsia="zh-CN"/>
                      </w:rPr>
                      <w:t xml:space="preserve">  </w:t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lang w:eastAsia="zh-CN"/>
                      </w:rPr>
                      <w:t xml:space="preserve">第 </w:t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lang w:eastAsia="zh-CN"/>
                      </w:rPr>
                      <w:fldChar w:fldCharType="begin"/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lang w:eastAsia="zh-CN"/>
                      </w:rPr>
                      <w:fldChar w:fldCharType="separate"/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lang w:eastAsia="zh-CN"/>
                      </w:rPr>
                      <w:t>1</w:t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lang w:eastAsia="zh-CN"/>
                      </w:rPr>
                      <w:fldChar w:fldCharType="end"/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lang w:eastAsia="zh-CN"/>
                      </w:rPr>
                      <w:t xml:space="preserve"> 页（共 </w:t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lang w:eastAsia="zh-CN"/>
                      </w:rPr>
                      <w:fldChar w:fldCharType="begin"/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lang w:eastAsia="zh-CN"/>
                      </w:rPr>
                      <w:fldChar w:fldCharType="separate"/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lang w:eastAsia="zh-CN"/>
                      </w:rPr>
                      <w:t>2</w:t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lang w:eastAsia="zh-CN"/>
                      </w:rPr>
                      <w:fldChar w:fldCharType="end"/>
                    </w:r>
                    <w:r>
                      <w:rPr>
                        <w:rFonts w:ascii="黑体" w:eastAsia="黑体" w:hAnsi="黑体" w:cs="黑体" w:hint="eastAsia"/>
                        <w:b/>
                        <w:bCs/>
                        <w:lang w:eastAsia="zh-CN"/>
                      </w:rPr>
                      <w:t xml:space="preserve"> 页）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embedSystemFonts/>
  <w:bordersDoNotSurroundHeader/>
  <w:bordersDoNotSurroundFooter/>
  <w:defaultTabStop w:val="420"/>
  <w:drawingGridHorizontalSpacing w:val="21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C45639B"/>
    <w:rsid w:val="01C46F6F"/>
    <w:rsid w:val="01D6487E"/>
    <w:rsid w:val="02CD5678"/>
    <w:rsid w:val="037617B5"/>
    <w:rsid w:val="03FD21B8"/>
    <w:rsid w:val="07876B97"/>
    <w:rsid w:val="08601994"/>
    <w:rsid w:val="0AC0436E"/>
    <w:rsid w:val="0AEE4110"/>
    <w:rsid w:val="0B424FEF"/>
    <w:rsid w:val="0BFA2C85"/>
    <w:rsid w:val="0C440754"/>
    <w:rsid w:val="0CBE5C35"/>
    <w:rsid w:val="0D485D52"/>
    <w:rsid w:val="0F786D13"/>
    <w:rsid w:val="0F7D5A22"/>
    <w:rsid w:val="0FDE2D2E"/>
    <w:rsid w:val="117748F1"/>
    <w:rsid w:val="11BE4FE1"/>
    <w:rsid w:val="12171A0F"/>
    <w:rsid w:val="18E47EF4"/>
    <w:rsid w:val="196241C7"/>
    <w:rsid w:val="1B0772A7"/>
    <w:rsid w:val="1B7E3A93"/>
    <w:rsid w:val="1C80053E"/>
    <w:rsid w:val="1D7C4839"/>
    <w:rsid w:val="1FFF0C82"/>
    <w:rsid w:val="21531F9C"/>
    <w:rsid w:val="223E32F8"/>
    <w:rsid w:val="26CC7237"/>
    <w:rsid w:val="2ACA45B2"/>
    <w:rsid w:val="2C5557C2"/>
    <w:rsid w:val="2E643C4E"/>
    <w:rsid w:val="2EC04AF4"/>
    <w:rsid w:val="31D444C3"/>
    <w:rsid w:val="31DE6578"/>
    <w:rsid w:val="34C5488E"/>
    <w:rsid w:val="356B6A55"/>
    <w:rsid w:val="390E44F3"/>
    <w:rsid w:val="396F3060"/>
    <w:rsid w:val="3A3043CF"/>
    <w:rsid w:val="3B6E1CE8"/>
    <w:rsid w:val="3C125DA8"/>
    <w:rsid w:val="3C352360"/>
    <w:rsid w:val="40F00B7D"/>
    <w:rsid w:val="411A4B90"/>
    <w:rsid w:val="42D40A2E"/>
    <w:rsid w:val="45641C15"/>
    <w:rsid w:val="47BE0906"/>
    <w:rsid w:val="48F20946"/>
    <w:rsid w:val="494E4EEB"/>
    <w:rsid w:val="4A794499"/>
    <w:rsid w:val="4AAB0710"/>
    <w:rsid w:val="4C45639B"/>
    <w:rsid w:val="4CA239EB"/>
    <w:rsid w:val="4D215BF2"/>
    <w:rsid w:val="4D5530E1"/>
    <w:rsid w:val="4FC15D18"/>
    <w:rsid w:val="50B30987"/>
    <w:rsid w:val="51B33300"/>
    <w:rsid w:val="522323B3"/>
    <w:rsid w:val="529F6CE7"/>
    <w:rsid w:val="538E7D0E"/>
    <w:rsid w:val="54745C3F"/>
    <w:rsid w:val="54C41731"/>
    <w:rsid w:val="57437229"/>
    <w:rsid w:val="57C9675F"/>
    <w:rsid w:val="597E0CA6"/>
    <w:rsid w:val="5A157C63"/>
    <w:rsid w:val="5DB55B20"/>
    <w:rsid w:val="5F8E1BCB"/>
    <w:rsid w:val="60177F42"/>
    <w:rsid w:val="603346C3"/>
    <w:rsid w:val="60335154"/>
    <w:rsid w:val="60435618"/>
    <w:rsid w:val="62B7218D"/>
    <w:rsid w:val="65F9471B"/>
    <w:rsid w:val="677419EC"/>
    <w:rsid w:val="6ABD1768"/>
    <w:rsid w:val="6B845B06"/>
    <w:rsid w:val="6D59633A"/>
    <w:rsid w:val="6D8C422A"/>
    <w:rsid w:val="6F11196B"/>
    <w:rsid w:val="70794F84"/>
    <w:rsid w:val="711330B8"/>
    <w:rsid w:val="71FD3E50"/>
    <w:rsid w:val="72ED29B4"/>
    <w:rsid w:val="73420573"/>
    <w:rsid w:val="7511004E"/>
    <w:rsid w:val="75523F0A"/>
    <w:rsid w:val="75DF5F46"/>
    <w:rsid w:val="773362B2"/>
    <w:rsid w:val="7C9C3FA4"/>
    <w:rsid w:val="7CC40C23"/>
    <w:rsid w:val="7DDC44FC"/>
    <w:rsid w:val="7ED941C2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uiPriority w:val="99"/>
    <w:unhideWhenUsed/>
    <w:qFormat/>
    <w:pPr>
      <w:spacing w:after="120" w:line="276" w:lineRule="auto"/>
    </w:pPr>
    <w:rPr>
      <w:szCs w:val="21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NoSpacing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</cp:revision>
  <dcterms:created xsi:type="dcterms:W3CDTF">2020-12-15T01:59:00Z</dcterms:created>
  <dcterms:modified xsi:type="dcterms:W3CDTF">2020-12-22T07:05:01Z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