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龙岩市</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年高中毕业班第一次教学质量检测</w:t>
      </w:r>
    </w:p>
    <w:p>
      <w:pPr>
        <w:pStyle w:val="2"/>
        <w:spacing w:after="0" w:line="36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政治试题</w:t>
      </w:r>
    </w:p>
    <w:p>
      <w:pPr>
        <w:pStyle w:val="2"/>
        <w:spacing w:after="0" w:line="36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（考试时间：</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w:t>
      </w:r>
    </w:p>
    <w:p>
      <w:pPr>
        <w:pStyle w:val="2"/>
        <w:spacing w:after="0" w:line="36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注意：请将试题的全部答案填写在答题卡上。</w:t>
      </w:r>
    </w:p>
    <w:p>
      <w:pPr>
        <w:pStyle w:val="2"/>
        <w:spacing w:after="0" w:line="36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16</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分。在每小题给出的四个选项中，只有一</w:t>
      </w:r>
    </w:p>
    <w:p>
      <w:pPr>
        <w:pStyle w:val="2"/>
        <w:spacing w:after="0" w:line="36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项是最符合题目要求的。</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充电桩建设是国家重点支持的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两新一重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新型数字基础设施建设项目之一。</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年，龙岩供电公司投资</w:t>
      </w:r>
      <w:r>
        <w:rPr>
          <w:rFonts w:ascii="Times New Roman" w:hAnsi="Times New Roman" w:eastAsia="宋体" w:cs="Times New Roman"/>
          <w:sz w:val="21"/>
          <w:szCs w:val="21"/>
          <w:lang w:eastAsia="zh-CN"/>
        </w:rPr>
        <w:t>2800</w:t>
      </w:r>
      <w:r>
        <w:rPr>
          <w:rFonts w:ascii="Times New Roman" w:hAnsi="宋体" w:eastAsia="宋体" w:cs="Times New Roman"/>
          <w:sz w:val="21"/>
          <w:szCs w:val="21"/>
          <w:lang w:eastAsia="zh-CN"/>
        </w:rPr>
        <w:t>万元，在龙岩建成</w:t>
      </w:r>
      <w:r>
        <w:rPr>
          <w:rFonts w:ascii="Times New Roman" w:hAnsi="Times New Roman" w:eastAsia="宋体" w:cs="Times New Roman"/>
          <w:sz w:val="21"/>
          <w:szCs w:val="21"/>
          <w:lang w:eastAsia="zh-CN"/>
        </w:rPr>
        <w:t>176</w:t>
      </w:r>
      <w:r>
        <w:rPr>
          <w:rFonts w:ascii="Times New Roman" w:hAnsi="宋体" w:eastAsia="宋体" w:cs="Times New Roman"/>
          <w:sz w:val="21"/>
          <w:szCs w:val="21"/>
          <w:lang w:eastAsia="zh-CN"/>
        </w:rPr>
        <w:t>个充电桩。不考虑其他因素，下列曲线图（</w:t>
      </w:r>
      <w:r>
        <w:rPr>
          <w:rFonts w:ascii="Times New Roman" w:hAnsi="Times New Roman" w:eastAsia="宋体" w:cs="Times New Roman"/>
          <w:sz w:val="21"/>
          <w:szCs w:val="21"/>
          <w:lang w:eastAsia="zh-CN"/>
        </w:rPr>
        <w:t>S</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表示变动前的曲线，</w:t>
      </w:r>
      <w:r>
        <w:rPr>
          <w:rFonts w:ascii="Times New Roman" w:hAnsi="Times New Roman" w:eastAsia="宋体" w:cs="Times New Roman"/>
          <w:sz w:val="21"/>
          <w:szCs w:val="21"/>
          <w:lang w:eastAsia="zh-CN"/>
        </w:rPr>
        <w:t>S'</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表示变动后的曲线），能正确反映充电桩建设对当地新能源汽车供需影响的是</w:t>
      </w:r>
    </w:p>
    <w:p>
      <w:pPr>
        <w:pStyle w:val="2"/>
        <w:spacing w:after="0" w:line="360" w:lineRule="auto"/>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5029200" cy="1285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lum bright="10000" contrast="40000"/>
                    </a:blip>
                    <a:stretch>
                      <a:fillRect/>
                    </a:stretch>
                  </pic:blipFill>
                  <pic:spPr>
                    <a:xfrm>
                      <a:off x="0" y="0"/>
                      <a:ext cx="5029200" cy="1285875"/>
                    </a:xfrm>
                    <a:prstGeom prst="rect">
                      <a:avLst/>
                    </a:prstGeom>
                    <a:noFill/>
                    <a:ln w="9525">
                      <a:noFill/>
                      <a:miter lim="800000"/>
                      <a:headEnd/>
                      <a:tailEnd/>
                    </a:ln>
                  </pic:spPr>
                </pic:pic>
              </a:graphicData>
            </a:graphic>
          </wp:inline>
        </w:drawing>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助企纾困，</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年税务部门打出了一套减税降费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组合拳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，全年实现新增减税降费超</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万亿元，为企业送去了实打实的政策红利。减税降费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组合拳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对助企纾困的影响路径是</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解决企业融资困境</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降低企业实际税负</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企业加大研发投入</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增加企业流动资金</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⑤</w:t>
      </w:r>
      <w:r>
        <w:rPr>
          <w:rFonts w:ascii="Times New Roman" w:hAnsi="宋体" w:eastAsia="宋体" w:cs="Times New Roman"/>
          <w:sz w:val="21"/>
          <w:szCs w:val="21"/>
          <w:lang w:eastAsia="zh-CN"/>
        </w:rPr>
        <w:t>助力企业转型升级</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⑤</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B. </w:t>
      </w: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④</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⑤</w:t>
      </w:r>
      <w:r>
        <w:rPr>
          <w:rFonts w:hint="eastAsia" w:ascii="宋体" w:hAnsi="宋体" w:eastAsia="宋体" w:cs="Times New Roman"/>
          <w:sz w:val="21"/>
          <w:szCs w:val="21"/>
          <w:lang w:eastAsia="zh-CN"/>
        </w:rPr>
        <w:t xml:space="preserve">  </w:t>
      </w:r>
      <w:r>
        <w:rPr>
          <w:rFonts w:hint="eastAsia" w:ascii="Times New Roman" w:hAnsi="宋体" w:eastAsia="宋体" w:cs="Times New Roman"/>
          <w:sz w:val="21"/>
          <w:szCs w:val="21"/>
          <w:lang w:eastAsia="zh-CN"/>
        </w:rPr>
        <w:t>C.</w:t>
      </w: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⑤</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D.</w:t>
      </w:r>
      <w:r>
        <w:rPr>
          <w:rFonts w:ascii="宋体" w:hAnsi="宋体" w:eastAsia="宋体" w:cs="Times New Roman"/>
          <w:sz w:val="21"/>
          <w:szCs w:val="21"/>
          <w:lang w:eastAsia="zh-CN"/>
        </w:rPr>
        <w:t>④</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⑤</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带量采购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国家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为单位进行药品的集中采购，目的是为了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以量换价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月，第四批国家组织药品集中带量采购产生拟中选结果，共采购</w:t>
      </w:r>
      <w:r>
        <w:rPr>
          <w:rFonts w:ascii="Times New Roman" w:hAnsi="Times New Roman" w:eastAsia="宋体" w:cs="Times New Roman"/>
          <w:sz w:val="21"/>
          <w:szCs w:val="21"/>
          <w:lang w:eastAsia="zh-CN"/>
        </w:rPr>
        <w:t>45</w:t>
      </w:r>
      <w:r>
        <w:rPr>
          <w:rFonts w:ascii="Times New Roman" w:hAnsi="宋体" w:eastAsia="宋体" w:cs="Times New Roman"/>
          <w:sz w:val="21"/>
          <w:szCs w:val="21"/>
          <w:lang w:eastAsia="zh-CN"/>
        </w:rPr>
        <w:t>种药品，平均降价</w:t>
      </w:r>
      <w:r>
        <w:rPr>
          <w:rFonts w:ascii="Times New Roman" w:hAnsi="Times New Roman" w:eastAsia="宋体" w:cs="Times New Roman"/>
          <w:sz w:val="21"/>
          <w:szCs w:val="21"/>
          <w:lang w:eastAsia="zh-CN"/>
        </w:rPr>
        <w:t>52%,</w:t>
      </w:r>
      <w:r>
        <w:rPr>
          <w:rFonts w:ascii="Times New Roman" w:hAnsi="宋体" w:eastAsia="宋体" w:cs="Times New Roman"/>
          <w:sz w:val="21"/>
          <w:szCs w:val="21"/>
          <w:lang w:eastAsia="zh-CN"/>
        </w:rPr>
        <w:t>涉及高血压、糖尿病等多种治疗领域，群众受益面广。实行药品集中带量采购</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有利于完善药品价格形成机制，促进医药业健康发展</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降低了群众医疗用药负担，彰显以人民为中心的思想</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完善了我国药品市场供给机制，实现了药品供需平衡</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规范了药品采购规则，扩大社会医疗保障的覆盖范围</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党的十九届五中全会提出，要加快构建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以国内大循环为主体、国内国际双循环相互促进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的新发展格局。完成</w:t>
      </w:r>
      <w:r>
        <w:rPr>
          <w:rFonts w:ascii="Times New Roman" w:hAnsi="Times New Roman" w:eastAsia="宋体" w:cs="Times New Roman"/>
          <w:sz w:val="21"/>
          <w:szCs w:val="21"/>
          <w:lang w:eastAsia="zh-CN"/>
        </w:rPr>
        <w:t>4~5</w:t>
      </w:r>
      <w:r>
        <w:rPr>
          <w:rFonts w:ascii="Times New Roman" w:hAnsi="宋体" w:eastAsia="宋体" w:cs="Times New Roman"/>
          <w:sz w:val="21"/>
          <w:szCs w:val="21"/>
          <w:lang w:eastAsia="zh-CN"/>
        </w:rPr>
        <w:t>题。</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以内循环为主意味着中国整个经济模式发生重大变化，大内需、大消费将成为主导驱动</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力。当前提振内需的重要途径在于优化收入分配格局。以下举措有助于完善个人收入分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配的是</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加大转移支付力度，增加居民财产性收入</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实施精准扶贫，把扶贫同扶志、扶智相结合</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坚持在劳动生产率提高的同时实现居民收入同步提高</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增加低收入者收入，扩大中等收入群体，调节过高收入</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中国经济要实现更加强劲可持续发展，必须通过国内国际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双循环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，推动改革与开放相互促进，以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内循环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支撑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外循环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外循环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带动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内循环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。从哲学上看，内循环与外循环是</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整体和部分的关系，要从整体着眼，促进经济高质量发展</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内因与外因的关系，要立足国内循环，又要扩大对外开放</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共性与个性的关系，应积极探索内外循环有机结合的途径方法</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对立统一的关系，要用全面的观点看问题，实现内外有机统一</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社区社会组织是以本社区居民和其他组织为主发起成立，在城乡社区开展为民服务、公益</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慈善、邻里互助、文体娱乐和农村生产技术服务等活动的社会组织。目前，我国社区社会</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组织培育发展初见成效，社区社会组织管理制度更加健全，支持措施更加完备，整体发展</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更加有序，作用发挥更加明显。社区社会组织发挥的功能有</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领导社区居民有序参与基层群众自治实践</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动员社区居民参与社区公共事务和公益事业</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丰富我国基层民主和基层行政管理的形式</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积极培育发展社区文化和促进社区和谐</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《医疗保障基金使用监督管理条例》于</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日发布。作为医保制度建立以来国家层面发布的首个关于基金监管的规范性文件，《条例》要求构建政府和医疗保障等行政部门的行政监管、新闻媒体舆论监督、社会监督、行业自律相结合的监督体制，并针对不同违法主体、不同违法行为分别设置了法律责任。该《条例》的颁布</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体现了政府坚持推进依法决策、科学决策</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要求政府依法履职，做到法无授权不可为</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有利于提高医保基金使用的监督管理水平</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是党依法执政，推动依法治国的具体体现</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日，东盟十国以及中国、日本、韩国、澳大利亚、新西兰</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个国家，正式签署区域全面经济伙伴关系协定（</w:t>
      </w:r>
      <w:r>
        <w:rPr>
          <w:rFonts w:ascii="Times New Roman" w:hAnsi="Times New Roman" w:eastAsia="宋体" w:cs="Times New Roman"/>
          <w:sz w:val="21"/>
          <w:szCs w:val="21"/>
          <w:lang w:eastAsia="zh-CN"/>
        </w:rPr>
        <w:t>RCEP),</w:t>
      </w:r>
      <w:r>
        <w:rPr>
          <w:rFonts w:ascii="Times New Roman" w:hAnsi="宋体" w:eastAsia="宋体" w:cs="Times New Roman"/>
          <w:sz w:val="21"/>
          <w:szCs w:val="21"/>
          <w:lang w:eastAsia="zh-CN"/>
        </w:rPr>
        <w:t>标志着全球规模最大的自由贸易协定正式达成。该协定的签订</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对深化区域经济一体化、稳定全球经济具有标志性意义</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有利于维护世界和平稳定，对全球经济发展起决定作用</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旨在通过削减关税及非关税壁垒，实现各成员国同步发展</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聚焦共同发展，为亚洲及其他地区经济社会发展提供新动力</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9.2020</w:t>
      </w:r>
      <w:r>
        <w:rPr>
          <w:rFonts w:ascii="Times New Roman" w:hAnsi="宋体" w:eastAsia="宋体" w:cs="Times New Roman"/>
          <w:sz w:val="21"/>
          <w:szCs w:val="21"/>
          <w:lang w:eastAsia="zh-CN"/>
        </w:rPr>
        <w:t>年春节，河南卫视春晚舞蹈节目《唐宫夜宴》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出圈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爆火。这支舞蹈以</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大国宝为舞台背景，运用了</w:t>
      </w:r>
      <w:r>
        <w:rPr>
          <w:rFonts w:ascii="Times New Roman" w:hAnsi="Times New Roman" w:eastAsia="宋体" w:cs="Times New Roman"/>
          <w:sz w:val="21"/>
          <w:szCs w:val="21"/>
          <w:lang w:eastAsia="zh-CN"/>
        </w:rPr>
        <w:t>5G+AR</w:t>
      </w:r>
      <w:r>
        <w:rPr>
          <w:rFonts w:ascii="Times New Roman" w:hAnsi="宋体" w:eastAsia="宋体" w:cs="Times New Roman"/>
          <w:sz w:val="21"/>
          <w:szCs w:val="21"/>
          <w:lang w:eastAsia="zh-CN"/>
        </w:rPr>
        <w:t>的技术，让虚拟场景和现实舞台结合，将歌舞放进了博物馆场景，制造出了一种博物馆奇妙夜的感觉。该节目的成功在于</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大众传媒为传统文化传播与创新提供了不竭之源</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运用现代科学技术，实现传统与流行的深度融合</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挖掘中华文化内涵，唤起人们对传统文化的认同</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对优秀传统文化进行了创造性转化和创新性发展</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B. </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中华文明有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和为贵</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和而不同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己所不欲、勿施于人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等伟大思想。在多样中求同一、在差异中求和谐，在交流中求发展，是人类社会应有的文明观。这表明</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在文化交流中应尊重世界文化的多样性</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不同民族文化之间需要交流、借鉴与融合</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中华文化的包容性是消除文化差异的前提</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要充分借助一切外来文化繁荣本民族文化</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B. </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湖南耒阳女孩钟芳蓉是一名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留守儿童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，她从小学习努力，对考古有浓厚的兴趣，受毕业于北大考古系的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敦煌女儿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樊锦诗的影响，在</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年高考中，她以</w:t>
      </w:r>
      <w:r>
        <w:rPr>
          <w:rFonts w:ascii="Times New Roman" w:hAnsi="Times New Roman" w:eastAsia="宋体" w:cs="Times New Roman"/>
          <w:sz w:val="21"/>
          <w:szCs w:val="21"/>
          <w:lang w:eastAsia="zh-CN"/>
        </w:rPr>
        <w:t>676</w:t>
      </w:r>
      <w:r>
        <w:rPr>
          <w:rFonts w:ascii="Times New Roman" w:hAnsi="宋体" w:eastAsia="宋体" w:cs="Times New Roman"/>
          <w:sz w:val="21"/>
          <w:szCs w:val="21"/>
          <w:lang w:eastAsia="zh-CN"/>
        </w:rPr>
        <w:t>的高分填报北京大学考古文博院并被顺利录取。面对一些人对她选择考古专业质疑，她说：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我觉得喜欢就够了呀！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钟芳蓉的选择告诉我们</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价值观是人生的重要向导，对个人生涯规划具有导向作用</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在人生选择上要将个人的兴趣爱好与国家的需要结合起来</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榜样的力量是无穷的，文化发展要发挥榜样示范的决定作用</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文化促进人的全面发展，要自觉地接受健康向上文化的影响</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B. </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12.AI</w:t>
      </w:r>
      <w:r>
        <w:rPr>
          <w:rFonts w:ascii="Times New Roman" w:hAnsi="宋体" w:eastAsia="宋体" w:cs="Times New Roman"/>
          <w:sz w:val="21"/>
          <w:szCs w:val="21"/>
          <w:lang w:eastAsia="zh-CN"/>
        </w:rPr>
        <w:t>人工智能是指通过计算机程序来模拟人类智能的新技术。在新冠肺炎疫情防控期间，</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人工智能的相关应用大显身手，成为疫情防控的生力军。在疫情监测与分析、人员物资管</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控、药品研发等方面，人工智能得到了前所未有的淬炼。由此可见，</w:t>
      </w:r>
      <w:r>
        <w:rPr>
          <w:rFonts w:ascii="Times New Roman" w:hAnsi="Times New Roman" w:eastAsia="宋体" w:cs="Times New Roman"/>
          <w:sz w:val="21"/>
          <w:szCs w:val="21"/>
          <w:lang w:eastAsia="zh-CN"/>
        </w:rPr>
        <w:t>AI</w:t>
      </w:r>
      <w:r>
        <w:rPr>
          <w:rFonts w:ascii="Times New Roman" w:hAnsi="宋体" w:eastAsia="宋体" w:cs="Times New Roman"/>
          <w:sz w:val="21"/>
          <w:szCs w:val="21"/>
          <w:lang w:eastAsia="zh-CN"/>
        </w:rPr>
        <w:t>人工智能</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是人类思维活动的产物，已成为社会实践活动的强大主体</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削弱了意识对人脑的依赖，增强了意识活动的主动创造性</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延伸了人类的认识器官，增强了人类认识和改造世界的能力</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是基于数据处理技术而产生的新事物，具有广阔的发展前景</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世界上没有两片完全相同的树叶，也没有完全相同的历史文化和社会制度。各国历史文化和社会制度各有千秋，没有高低优劣之分，关键在于是否符合本国国情，能否获得人民拥护和支持，能否带来政治稳定、社会进步、民生改善，能否为人类进步事业作出贡献。对此理解正确的是</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只有把握不同事物的特殊本质才能正确地认识事物</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历史文化和社会制度的冲突是人类社会的基本矛盾</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历史文化和社会制度的高低优劣并不具有客观标准</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60325</wp:posOffset>
            </wp:positionV>
            <wp:extent cx="1457325" cy="1085850"/>
            <wp:effectExtent l="0" t="0" r="9525" b="0"/>
            <wp:wrapTight wrapText="bothSides">
              <wp:wrapPolygon>
                <wp:start x="0" y="0"/>
                <wp:lineTo x="0" y="21221"/>
                <wp:lineTo x="21459" y="21221"/>
                <wp:lineTo x="2145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lum bright="10000" contrast="40000"/>
                    </a:blip>
                    <a:stretch>
                      <a:fillRect/>
                    </a:stretch>
                  </pic:blipFill>
                  <pic:spPr>
                    <a:xfrm>
                      <a:off x="0" y="0"/>
                      <a:ext cx="1457325" cy="1085850"/>
                    </a:xfrm>
                    <a:prstGeom prst="rect">
                      <a:avLst/>
                    </a:prstGeom>
                    <a:noFill/>
                    <a:ln w="9525">
                      <a:noFill/>
                      <a:miter lim="800000"/>
                      <a:headEnd/>
                      <a:tailEnd/>
                    </a:ln>
                  </pic:spPr>
                </pic:pic>
              </a:graphicData>
            </a:graphic>
          </wp:anchor>
        </w:drawing>
      </w:r>
      <w:r>
        <w:rPr>
          <w:rFonts w:ascii="宋体" w:hAnsi="宋体" w:eastAsia="宋体" w:cs="Times New Roman"/>
          <w:sz w:val="21"/>
          <w:szCs w:val="21"/>
          <w:lang w:eastAsia="zh-CN"/>
        </w:rPr>
        <w:t>④</w:t>
      </w:r>
      <w:r>
        <w:rPr>
          <w:rFonts w:ascii="Times New Roman" w:hAnsi="宋体" w:eastAsia="宋体" w:cs="Times New Roman"/>
          <w:sz w:val="21"/>
          <w:szCs w:val="21"/>
          <w:lang w:eastAsia="zh-CN"/>
        </w:rPr>
        <w:t>社会制度选择应坚持主观与客观具体的历史的统一</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B. </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C. </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读右图漫画《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齐短板》启示我们想问题办事情必须</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坚持辩证否定的观点，树立革命批判精神</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坚持实践第一的观点，将观念转化成现实</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坚持量变与质变的辩证统一，不失时机促成飞跃</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坚持两点论和重点论的统一，把握住问题的关键</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上海合作组织自成立以来，始终保持旺盛生命力、强劲合作动力，根本原因在于它践行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上</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海精神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，主张互信、互利、平等、协商、尊重多样文明、谋求共同发展。这超越了文明冲突、冷战思维、零和博弈等陈旧观念，得到国际社会日益广泛的认同。这表明上海合作组织</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已经成为当今世界最具代表性的国际组织</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各成员国拥有共同的国家安全与核心利益</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致力于维护和保障地区的和平、安全与稳定</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有利于推动构建更加公正合理的全球治理体系</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目前美国的新冠肺炎疫情已经达到了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巨大灾难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级别，而美国联邦政府和州政府在处置疫情问题上仍有明显的分歧与矛盾，美国经济复苏的尝试与总统选举更替的考量也都束缚了联邦政府的抗疫行动。材料表明</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美国实行三权分立制，三种权力的相互制衡导致效率低下</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美国联邦政府与州政府相互扯皮，各州政府之间各自为政</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美国的党派斗争导致美国政府应对疫情的政策难以得到贯彻落实</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美国实行联邦制的政权组织形式，实质是为资产阶级的利益服务</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B. </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 xml:space="preserve">C. </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hint="eastAsia" w:ascii="Times New Roman" w:hAnsi="Times New Roman" w:eastAsia="宋体" w:cs="Times New Roman"/>
          <w:sz w:val="21"/>
          <w:szCs w:val="21"/>
          <w:lang w:eastAsia="zh-CN"/>
        </w:rPr>
        <w:t>.</w:t>
      </w:r>
      <w:r>
        <w:rPr>
          <w:rFonts w:ascii="宋体" w:hAnsi="宋体" w:eastAsia="宋体" w:cs="Times New Roman"/>
          <w:sz w:val="21"/>
          <w:szCs w:val="21"/>
        </w:rPr>
        <w:t>③④</w:t>
      </w:r>
    </w:p>
    <w:p>
      <w:pPr>
        <w:pStyle w:val="2"/>
        <w:spacing w:after="0" w:line="36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二、非选择题：共</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36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种业是农业的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芯片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，也是国家战略性、基础性核心产业。</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年末的中央经济工作</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会议明确，</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年重点工作之一是解决好种子和耕地问题。要开展种源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卡脖子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技术攻关，</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立志打一场种业翻身仗。</w:t>
      </w:r>
    </w:p>
    <w:p>
      <w:pPr>
        <w:pStyle w:val="2"/>
        <w:spacing w:after="0" w:line="36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目前我国的主粮种子基本不缺，但是经济作物，尤其是一些高端蔬菜的种子，大多依赖进</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口。部分地区、部分品种，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洋种子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占比甚至超过</w:t>
      </w:r>
      <w:r>
        <w:rPr>
          <w:rFonts w:ascii="Times New Roman" w:hAnsi="Times New Roman" w:eastAsia="宋体" w:cs="Times New Roman"/>
          <w:sz w:val="21"/>
          <w:szCs w:val="21"/>
          <w:lang w:eastAsia="zh-CN"/>
        </w:rPr>
        <w:t>80%.</w:t>
      </w:r>
      <w:r>
        <w:rPr>
          <w:rFonts w:ascii="Times New Roman" w:hAnsi="宋体" w:eastAsia="宋体" w:cs="Times New Roman"/>
          <w:sz w:val="21"/>
          <w:szCs w:val="21"/>
          <w:lang w:eastAsia="zh-CN"/>
        </w:rPr>
        <w:t>同时我国畜牧业、水产业、油料、</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饲料、蔬莱、水果等新品种的研发也呈现明显短板。</w:t>
      </w:r>
    </w:p>
    <w:p>
      <w:pPr>
        <w:pStyle w:val="2"/>
        <w:spacing w:after="0" w:line="36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有关专家认为，种业翻身仗一是要解决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种源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问题，二是要解决技术创新问题。种业不</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仅仅是种源本身，还包含研发和生产、销售和售后服务等相关的产业，以及涉及种质资源发掘、</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保护与创新技术、新品种培育技术、种子生产和加工技术等。</w:t>
      </w:r>
    </w:p>
    <w:p>
      <w:pPr>
        <w:pStyle w:val="2"/>
        <w:spacing w:after="0" w:line="36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结合材料，运用所学经济生活知识，请你为开展种源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卡脖子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技术攻关，打一场种业翻</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身仗提出政策建议。（</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分）</w:t>
      </w:r>
    </w:p>
    <w:p>
      <w:pPr>
        <w:pStyle w:val="2"/>
        <w:spacing w:after="0" w:line="36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党的十九届五中全会强调要保持港澳长期繁荣稳定，必须坚持依法治港治澳，维护宪法和</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《基本法》确定的特别行政区宪制秩序，落实中央对特别行政区全面管治权。</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国家安全事关国家主权、人民福祉和经济社会可持续发展。香港维护国家安全立法上的漏洞，使香港国家安全长期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不设防</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，也给西方势力疯狂干预香港事务留下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风险口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36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华人民共和国香港特别行政区维护国家安全法）已由十三届全国人大常委会第二十次会议正式通过。这是党中央维护国家主权、安全和发展利益做出的重大战略决策，符合香港广大居民的意愿，也充分反映了全国人民的共同意志。这部法律的颁布实施，在宪法和香港基本法的轨道上进一步推进维护国家安全法律制度建设，令香港社会恢复稳定，保障了奉公守法市民的生命安全、基本权利和自由，确保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一国两制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的贯彻实施。</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日下午，国家主席习近平在北京以视频连线方式分别听取了香港特别行政区行政长官林郑月娥、澳门特别行政区行政长官贺一诚</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年度的述职报告。林郑月娥、贺一诚分别汇报了香港和澳门特别行政区政府过去一年工作和当前形势，习近平代表中央表达了对特别行政区政府工作的肯定和支持。</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结合材料一，运用政治生活知识，分析应如何运用法治思维来强化国家安全。（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结合材料，谈谈对我国国家结构形式的认识。（</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分）</w:t>
      </w:r>
    </w:p>
    <w:p>
      <w:pPr>
        <w:pStyle w:val="2"/>
        <w:spacing w:after="0" w:line="36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闽西，是一块英雄浴血、彪炳史册的红色圣地。循着革命先辈前行的足迹，翻开中国革命</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史，闽西留下了厚重而壮丽的篇章。近年来，龙岩市充分利用闽西红色文化资源，努力打造闽</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西红色文化品牌。</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龙岩市立足当地红色文化资源的现状，制定科学发展规划，对革命遗址、纪念地</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的分布特点分门别类地确定保护办法；加强理论研究和成果转化工作，把红色文化研究工作纳</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入全市社科理论研究的重点内容，努力讲好红色故事，创作红色理论和文化精品；创新红色文</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化传播平台，发挥电视、网络等媒体的作用，建设红色文化数字化管理平台和</w:t>
      </w:r>
      <w:r>
        <w:rPr>
          <w:rFonts w:ascii="Times New Roman" w:hAnsi="Times New Roman" w:eastAsia="宋体" w:cs="Times New Roman"/>
          <w:sz w:val="21"/>
          <w:szCs w:val="21"/>
          <w:lang w:eastAsia="zh-CN"/>
        </w:rPr>
        <w:t>VR</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AR</w:t>
      </w:r>
      <w:r>
        <w:rPr>
          <w:rFonts w:ascii="Times New Roman" w:hAnsi="宋体" w:eastAsia="宋体" w:cs="Times New Roman"/>
          <w:sz w:val="21"/>
          <w:szCs w:val="21"/>
          <w:lang w:eastAsia="zh-CN"/>
        </w:rPr>
        <w:t>体验</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系列产品，并创作一批优秀影视剧，增强红色文化影响力；大力发展红色旅游产业，着力打造</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以古田会议旧址群为龙头的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百里红色朝圣之旅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，将各县区的红色景点列入全国红色经典旅</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游景区。目前，在闽西广大干部群众的努力下，闽西宝贵红色资源日益彰显出新的时代活力。</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近年来，永定区金砂乡依托红色文化资源，着力打造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红色小镇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，加快推进美</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丽乡村建设。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红色小镇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建设以来，金砂乡深度挖掘红色标语、文献资料、革命实物、英雄</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人物等红色载体蕴含的政治、经济、文化、教育等鲜明价值，让红色文化焕发活力，走进基层</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群众心里，提高广大村民的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精气神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，也吸引了各级单位团体前来开展主题教育活动。同时，</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金砂村民积极打造集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吃、住、行、游、购、娱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于一体的红色文化体验基地，为乡村振兴注</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入了新活力，推动农村产业升级，农民增收。</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结合材料一，从辩证唯物主义角度，分析龙岩市打造闽西红色文化品牌的举措蕴含的哲</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学道理。（</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结合材料二，运用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文化与生活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的相关知识，分析金砂乡是如何发挥红色基因的作用，</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助推乡村振兴发展的。（</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为促进红色旅游产业发展，龙岩市文化旅游部门拟通过某网络直播平台举办红色旅游云</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推介活动。龙岩红色文化蕴含丰富的政治、经济、文化、教育等价值，请你自选角度，</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撰写一份推介发言稿。（</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要求：</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使用思想政治学科术语；</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主题鲜明，观点正确；</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不少于</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字。</w:t>
      </w:r>
    </w:p>
    <w:p>
      <w:pPr>
        <w:pStyle w:val="2"/>
        <w:spacing w:after="0" w:line="360" w:lineRule="auto"/>
        <w:jc w:val="center"/>
        <w:rPr>
          <w:rFonts w:ascii="Times New Roman" w:hAnsi="宋体" w:eastAsia="宋体" w:cs="Times New Roman"/>
          <w:b/>
          <w:sz w:val="21"/>
          <w:szCs w:val="21"/>
          <w:lang w:eastAsia="zh-CN"/>
        </w:rPr>
      </w:pPr>
    </w:p>
    <w:p>
      <w:pPr>
        <w:pStyle w:val="2"/>
        <w:spacing w:after="0" w:line="360" w:lineRule="auto"/>
        <w:jc w:val="center"/>
        <w:rPr>
          <w:rFonts w:ascii="Times New Roman" w:hAnsi="宋体" w:eastAsia="宋体" w:cs="Times New Roman"/>
          <w:b/>
          <w:sz w:val="21"/>
          <w:szCs w:val="21"/>
          <w:lang w:eastAsia="zh-CN"/>
        </w:rPr>
      </w:pPr>
    </w:p>
    <w:p>
      <w:pPr>
        <w:pStyle w:val="2"/>
        <w:spacing w:after="0" w:line="360" w:lineRule="auto"/>
        <w:jc w:val="center"/>
        <w:rPr>
          <w:rFonts w:ascii="Times New Roman" w:hAnsi="宋体" w:eastAsia="宋体" w:cs="Times New Roman"/>
          <w:b/>
          <w:sz w:val="21"/>
          <w:szCs w:val="21"/>
          <w:lang w:eastAsia="zh-CN"/>
        </w:rPr>
      </w:pPr>
    </w:p>
    <w:p>
      <w:pPr>
        <w:pStyle w:val="2"/>
        <w:spacing w:after="0" w:line="360" w:lineRule="auto"/>
        <w:jc w:val="center"/>
        <w:rPr>
          <w:rFonts w:ascii="Times New Roman" w:hAnsi="宋体" w:eastAsia="宋体" w:cs="Times New Roman"/>
          <w:b/>
          <w:sz w:val="21"/>
          <w:szCs w:val="21"/>
          <w:lang w:eastAsia="zh-CN"/>
        </w:rPr>
      </w:pPr>
    </w:p>
    <w:p>
      <w:pPr>
        <w:pStyle w:val="2"/>
        <w:spacing w:after="0" w:line="360" w:lineRule="auto"/>
        <w:jc w:val="center"/>
        <w:rPr>
          <w:rFonts w:ascii="Times New Roman" w:hAnsi="宋体" w:eastAsia="宋体" w:cs="Times New Roman"/>
          <w:b/>
          <w:sz w:val="21"/>
          <w:szCs w:val="21"/>
          <w:lang w:eastAsia="zh-CN"/>
        </w:rPr>
      </w:pPr>
    </w:p>
    <w:p>
      <w:pPr>
        <w:pStyle w:val="2"/>
        <w:spacing w:after="0" w:line="360" w:lineRule="auto"/>
        <w:jc w:val="center"/>
        <w:rPr>
          <w:rFonts w:ascii="Times New Roman" w:hAnsi="Times New Roman" w:eastAsia="宋体" w:cs="Times New Roman"/>
          <w:b/>
          <w:sz w:val="21"/>
          <w:szCs w:val="21"/>
          <w:lang w:eastAsia="zh-CN"/>
        </w:rPr>
      </w:pPr>
      <w:bookmarkStart w:id="0" w:name="_GoBack"/>
      <w:bookmarkEnd w:id="0"/>
      <w:r>
        <w:rPr>
          <w:rFonts w:ascii="Times New Roman" w:hAnsi="宋体" w:eastAsia="宋体" w:cs="Times New Roman"/>
          <w:b/>
          <w:sz w:val="21"/>
          <w:szCs w:val="21"/>
          <w:lang w:eastAsia="zh-CN"/>
        </w:rPr>
        <w:t>龙岩市</w:t>
      </w:r>
      <w:r>
        <w:rPr>
          <w:rFonts w:ascii="Times New Roman" w:hAnsi="Times New Roman" w:eastAsia="宋体" w:cs="Times New Roman"/>
          <w:b/>
          <w:sz w:val="21"/>
          <w:szCs w:val="21"/>
          <w:lang w:eastAsia="zh-CN"/>
        </w:rPr>
        <w:t>2021</w:t>
      </w:r>
      <w:r>
        <w:rPr>
          <w:rFonts w:ascii="Times New Roman" w:hAnsi="宋体" w:eastAsia="宋体" w:cs="Times New Roman"/>
          <w:b/>
          <w:sz w:val="21"/>
          <w:szCs w:val="21"/>
          <w:lang w:eastAsia="zh-CN"/>
        </w:rPr>
        <w:t>年高中毕业班第一次教学质量检测</w:t>
      </w:r>
    </w:p>
    <w:p>
      <w:pPr>
        <w:pStyle w:val="2"/>
        <w:spacing w:after="0" w:line="36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政治试题参考答案</w:t>
      </w:r>
    </w:p>
    <w:p>
      <w:pPr>
        <w:pStyle w:val="2"/>
        <w:spacing w:after="0" w:line="36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一、选择题：本题共</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小题，每小题</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分，共</w:t>
      </w:r>
      <w:r>
        <w:rPr>
          <w:rFonts w:ascii="Times New Roman" w:hAnsi="Times New Roman" w:eastAsia="宋体" w:cs="Times New Roman"/>
          <w:sz w:val="21"/>
          <w:szCs w:val="21"/>
          <w:lang w:eastAsia="zh-CN"/>
        </w:rPr>
        <w:t>48</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467225" cy="11715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4467225" cy="1171575"/>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二、非选择题：共</w:t>
      </w:r>
      <w:r>
        <w:rPr>
          <w:rFonts w:ascii="Times New Roman" w:hAnsi="Times New Roman" w:eastAsia="宋体" w:cs="Times New Roman"/>
          <w:sz w:val="21"/>
          <w:szCs w:val="21"/>
          <w:lang w:eastAsia="zh-CN"/>
        </w:rPr>
        <w:t>52</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17.(12</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强化顶层设计，制定新的种子安全方针，制定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时期种业发展规划，把种业作为农业科技攻关及农业农村现代化的重点任务。</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加大财政、金融支持保障力度，支持一批重大关键项目攻关，集中力量，开展解决种源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卡脖子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技术攻关，提升种业自主创新能力。</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支持种子企业做大做强，以组建种业集团为突破口，探索研究科企合作新模式、新机制，加大研发投入，让企业成为创新主体，提升核心竞争力。</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18.(16</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将党的领导，人民当家作主和依法治国有机统一，形成维护国家安全的法治合力；（</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坚持在党的领导下科学立法，贯彻党的立法主张，为强化国家安全提供根本保证；（</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人大常委会与时俱进聚焦现行法律的短板和不足，不断总结经验教训，为防范化解重大国家安全风险构建坚实法治屏障；（</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坚持以人民为中心的立法思想，回应群众关切，维护国家安金。（</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我国是单一制国家，香港、澳门是中国的一个地方行政区域，香港、澳门和中央是中央</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与地方的关系。中央享有最高权力，地方政权被置于中央政权的统一领导下，在保证中央统一领导的同时，充分发挥地方的主动性和积极性。单一制的国家结构形式有利于维护国家统一，维护国家主权、安全、发展利益和特别行政区社会大局稳定。</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19.(24</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一切从实际出发，具体问题具体分析。龙岩市立足当地红色资源现状，制定科学规划，确定保护办法；（</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充分发挥主观能动性，用正确意识指导实践。龙岩市加强理论研究和成果转化，丰富红色文化内涵，为红色文化提供精神滋养；（</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用发展的观点看问题，树立创新意识。利用新媒体打造数字化平台，推进红色文化产品创新；（</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用联系观点看问题，立足整体，统筹全局。发展红色文化旅游产业，将各区县红色景点纳入全国红色旅游景区。（</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分）（若考生从其他角度回答，言之有理，可酌情给分。）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文化作为一种精神力量，能够对社会发展产生深刻的影响。红色文化作为乡村文化最鲜明的标识和最深厚的积淀，能激发村民的奋斗精神和热爱家乡、建设家乡、奉献家乡的积极性、主动性和创造性。</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文化与经济相互交融，当地围绕红色文化发展红色旅游，推动农村产业升级、农民增收，促进农村经济发展。</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优秀文化对人产生积极影响。红色文化丰富人的精神世界，提高人的综合素质，引领村民走向致富之路。</w:t>
      </w:r>
    </w:p>
    <w:p>
      <w:pPr>
        <w:pStyle w:val="2"/>
        <w:spacing w:after="0" w:line="360" w:lineRule="auto"/>
        <w:rPr>
          <w:rFonts w:hint="eastAsia"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288155" cy="2238375"/>
            <wp:effectExtent l="0" t="0" r="1714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4296541" cy="2242493"/>
                    </a:xfrm>
                    <a:prstGeom prst="rect">
                      <a:avLst/>
                    </a:prstGeom>
                    <a:noFill/>
                    <a:ln w="9525">
                      <a:noFill/>
                      <a:miter lim="800000"/>
                      <a:headEnd/>
                      <a:tailEnd/>
                    </a:ln>
                  </pic:spPr>
                </pic:pic>
              </a:graphicData>
            </a:graphic>
          </wp:inline>
        </w:drawing>
      </w:r>
    </w:p>
    <w:p>
      <w:pPr>
        <w:spacing w:line="360" w:lineRule="auto"/>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86889"/>
    <w:rsid w:val="211C0E5B"/>
    <w:rsid w:val="6BB868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2021-03-08T04:40:00Z</dcterms:created>
  <dc:creator>Administrator</dc:creator>
  <cp:lastModifiedBy>Administrator</cp:lastModifiedBy>
  <dcterms:modified xsi:type="dcterms:W3CDTF">2021-03-10T06:51:36Z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