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ascii="Times New Roman" w:hAnsi="宋体" w:eastAsia="宋体" w:cs="Times New Roman"/>
          <w:b/>
          <w:sz w:val="36"/>
          <w:szCs w:val="36"/>
          <w:lang w:eastAsia="zh-CN"/>
        </w:rPr>
        <w:t>武汉市</w:t>
      </w:r>
      <w:r>
        <w:rPr>
          <w:rFonts w:ascii="Times New Roman" w:hAnsi="Times New Roman" w:eastAsia="宋体" w:cs="Times New Roman"/>
          <w:b/>
          <w:sz w:val="36"/>
          <w:szCs w:val="36"/>
          <w:lang w:eastAsia="zh-CN"/>
        </w:rPr>
        <w:t>2021</w:t>
      </w:r>
      <w:r>
        <w:rPr>
          <w:rFonts w:ascii="Times New Roman" w:hAnsi="宋体" w:eastAsia="宋体" w:cs="Times New Roman"/>
          <w:b/>
          <w:sz w:val="36"/>
          <w:szCs w:val="36"/>
          <w:lang w:eastAsia="zh-CN"/>
        </w:rPr>
        <w:t>届高中毕业生三月质量检测</w:t>
      </w:r>
    </w:p>
    <w:p>
      <w:pPr>
        <w:pStyle w:val="2"/>
        <w:jc w:val="center"/>
        <w:rPr>
          <w:rFonts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ascii="Times New Roman" w:hAnsi="宋体" w:eastAsia="宋体" w:cs="Times New Roman"/>
          <w:b/>
          <w:sz w:val="36"/>
          <w:szCs w:val="36"/>
          <w:lang w:eastAsia="zh-CN"/>
        </w:rPr>
        <w:t>地理试卷</w:t>
      </w:r>
    </w:p>
    <w:p>
      <w:pPr>
        <w:pStyle w:val="2"/>
        <w:jc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b/>
          <w:sz w:val="21"/>
          <w:szCs w:val="21"/>
          <w:lang w:eastAsia="zh-CN"/>
        </w:rPr>
        <w:t xml:space="preserve">                                                                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2021.3.4</w:t>
      </w:r>
    </w:p>
    <w:p>
      <w:pPr>
        <w:pStyle w:val="2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本试题卷共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页，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题。全卷满分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分。考试用时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分钟。</w:t>
      </w:r>
    </w:p>
    <w:p>
      <w:pPr>
        <w:pStyle w:val="2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★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祝考试顺利</w:t>
      </w:r>
      <w:r>
        <w:rPr>
          <w:rFonts w:ascii="宋体" w:hAnsi="宋体" w:eastAsia="宋体" w:cs="Times New Roman"/>
          <w:sz w:val="21"/>
          <w:szCs w:val="21"/>
          <w:lang w:eastAsia="zh-CN"/>
        </w:rPr>
        <w:t>★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注意事项：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答题前，先将自己的姓名、准考证号填写在试卷和答题卡上，并将准考证号条形码粘贴在答题卡上的指定位置。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选择题的作答：每小题选出答案后，用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铅笔把答题卡上对应题目的答案标号涂黑。写在试卷、草稿纸和答题卡上的非答题区域均无效。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非选择题的作答：用黑色签字笔直接答在答题卡上对应的答题区域内。写在试卷、草稿纸和答题卡上的非答题区域均无效。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考试结束后，请将本试卷和答题卡一并上交。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分。在每小题给出的四个选项中，只有一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项是符合题目要求的。</w:t>
      </w:r>
    </w:p>
    <w:p>
      <w:pPr>
        <w:pStyle w:val="2"/>
        <w:ind w:firstLine="420" w:firstLineChars="2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晚新生代（始于约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2~3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百万年前）以来，长白山发育了末次冰期冰川。图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所示地区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在此次冰期中冰川活动活跃，冰川地貌广泛发育。据此完成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1~3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771900" cy="3286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图中最典型的冰川地貌遗址分布在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南顶子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场子沟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石青沟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老秃顶子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下列四地中，可能有泥石流灾害发生的是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宋体" w:eastAsia="宋体" w:cs="Times New Roman"/>
          <w:sz w:val="21"/>
          <w:szCs w:val="21"/>
        </w:rPr>
        <w:t>甲地</w:t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宋体" w:eastAsia="宋体" w:cs="Times New Roman"/>
          <w:sz w:val="21"/>
          <w:szCs w:val="21"/>
        </w:rPr>
        <w:t>乙地</w:t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宋体" w:eastAsia="宋体" w:cs="Times New Roman"/>
          <w:sz w:val="21"/>
          <w:szCs w:val="21"/>
        </w:rPr>
        <w:t>丙地</w:t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宋体" w:eastAsia="宋体" w:cs="Times New Roman"/>
          <w:sz w:val="21"/>
          <w:szCs w:val="21"/>
        </w:rPr>
        <w:t>丁地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区内典型植被从山麓到山顶依次为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落叶阔叶林、针阔混交林、针叶林、灌丛、灌草丛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灌草丛、灌丛、针叶林、针阔混交林、常绿阔叶林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针叶林、灌丛、灌草丛、针阔混交林、落叶阔叶林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常绿硬叶林、针叶林、针阔混交林、灌丛、灌草丛</w:t>
      </w:r>
    </w:p>
    <w:p>
      <w:pPr>
        <w:pStyle w:val="2"/>
        <w:ind w:firstLine="315" w:firstLineChars="1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起沙风是导致土壤风蚀的重要气候因子之一，土壤风蚀是北方农田和草场退化、沙化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的主要影响因素。图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示意青海省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1961~2015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年冬春季起沙风日数空间变化趋势。据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4~5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276725" cy="2867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4.1961~2015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年青海省土壤风蚀程度的空间变化趋势是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自西向东增强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自西向东减弱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自南向北增强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自南向北减弱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青海省冬春季节的主导风是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西北风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东南风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东北信风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盛行西风</w:t>
      </w:r>
    </w:p>
    <w:p>
      <w:pPr>
        <w:pStyle w:val="2"/>
        <w:ind w:firstLine="420" w:firstLineChars="2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城市绿地调节小气候功能主要与植被蒸腾和冠层遮阴有关。绿地降温幅度与当地的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环境温度显著相关，当外界环境温度低于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26°</w:t>
      </w:r>
      <w:r>
        <w:rPr>
          <w:rFonts w:ascii="宋体" w:hAnsi="宋体" w:eastAsia="宋体" w:cs="Times New Roman"/>
          <w:sz w:val="21"/>
          <w:szCs w:val="21"/>
          <w:lang w:eastAsia="zh-CN"/>
        </w:rPr>
        <w:t>℃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时，城市绿地降温效应不明显。研究表明，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城市绿地覆被格局对其降温效应有明显影响。图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示意环境温度与绿地降温幅度的关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系。据此完成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6~8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933825" cy="25146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我国南方城市绿地降温效应最明显的季节是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宋体" w:eastAsia="宋体" w:cs="Times New Roman"/>
          <w:sz w:val="21"/>
          <w:szCs w:val="21"/>
        </w:rPr>
        <w:t>春季</w:t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宋体" w:eastAsia="宋体" w:cs="Times New Roman"/>
          <w:sz w:val="21"/>
          <w:szCs w:val="21"/>
        </w:rPr>
        <w:t>夏季</w:t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宋体" w:eastAsia="宋体" w:cs="Times New Roman"/>
          <w:sz w:val="21"/>
          <w:szCs w:val="21"/>
        </w:rPr>
        <w:t>秋季</w:t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宋体" w:eastAsia="宋体" w:cs="Times New Roman"/>
          <w:sz w:val="21"/>
          <w:szCs w:val="21"/>
        </w:rPr>
        <w:t>冬季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若环境温度相同（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≥26</w:t>
      </w:r>
      <w:r>
        <w:rPr>
          <w:rFonts w:ascii="宋体" w:hAnsi="宋体" w:eastAsia="宋体" w:cs="Times New Roman"/>
          <w:sz w:val="21"/>
          <w:szCs w:val="21"/>
          <w:lang w:eastAsia="zh-CN"/>
        </w:rPr>
        <w:t>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城市绿地覆被格局中降温效应最大的是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盖度较高的草坪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盖度较高的灌木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密度较高的乔木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高比例硬化地面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揭示城市绿地改善小气候的作用规律有利于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增强市区热力环流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根治城市洪涝灾害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提升城市人居环境质量</w:t>
      </w: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加强城市生态空间管理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宋体" w:hAnsi="宋体" w:eastAsia="宋体" w:cs="Times New Roman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宋体" w:hAnsi="宋体" w:eastAsia="宋体" w:cs="Times New Roman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宋体" w:hAnsi="宋体" w:eastAsia="宋体" w:cs="Times New Roman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宋体" w:hAnsi="宋体" w:eastAsia="宋体" w:cs="Times New Roman"/>
          <w:sz w:val="21"/>
          <w:szCs w:val="21"/>
        </w:rPr>
        <w:t>③④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通常情况下，城市人口老龄化高于乡村，我国则是乡村人口老龄化高于城市，即所谓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的人口老龄化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城乡倒置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现象。图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1982~2015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年我国城乡人口老龄化时序变化。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9~10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181600" cy="2438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导致我国人口老龄化城乡倒置的直接原因是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计划生育政策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经济发展水平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生态环境质量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区域人口迁移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应对我国人口老龄化城乡倒置的根本措施是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发展现代农业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推进城乡统筹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调整产业结构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实行产业转移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近年来以色列兴起的水肥一体化农业生产，推动了水溶性肥料的发展。水溶性肥料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能迅速地溶解于水中，更容易被作物吸收，肥料利用率提高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30%~50%,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被广泛应用于喷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滴灌等设施农业。据此完成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11~13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影响以色列水肥一体化农业生产的主要因素是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水源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土壤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科技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市场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与传统施肥相比，水肥一体化的突出优势在于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省水省肥省工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增加土壤温差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保温保湿通气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改善土壤墒情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我国最适宜大面积推广水溶性肥料的地区是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东北地区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华北地区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西北地区</w:t>
      </w: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西南地区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宋体" w:hAnsi="宋体" w:eastAsia="宋体" w:cs="Times New Roman"/>
          <w:sz w:val="21"/>
          <w:szCs w:val="21"/>
          <w:lang w:eastAsia="zh-CN"/>
        </w:rPr>
        <w:t>①②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宋体" w:hAnsi="宋体" w:eastAsia="宋体" w:cs="Times New Roman"/>
          <w:sz w:val="21"/>
          <w:szCs w:val="21"/>
          <w:lang w:eastAsia="zh-CN"/>
        </w:rPr>
        <w:t>①③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宋体" w:hAnsi="宋体" w:eastAsia="宋体" w:cs="Times New Roman"/>
          <w:sz w:val="21"/>
          <w:szCs w:val="21"/>
          <w:lang w:eastAsia="zh-CN"/>
        </w:rPr>
        <w:t>②③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宋体" w:hAnsi="宋体" w:eastAsia="宋体" w:cs="Times New Roman"/>
          <w:sz w:val="21"/>
          <w:szCs w:val="21"/>
          <w:lang w:eastAsia="zh-CN"/>
        </w:rPr>
        <w:t>②④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中亚五国地处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一带一路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沿线，以农牧业为主。经济发展水平低，资源禀赋同中国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产业现状形成良性互补，与中国产业领域合作广泛，这为中国向中亚五国进行国际产业转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移提供了良好契机。表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示意中亚五国对中国产业转移吸引力指数。据此完成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14~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952750" cy="2042795"/>
            <wp:effectExtent l="0" t="0" r="0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4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</w:t>
      </w:r>
      <w:bookmarkStart w:id="0" w:name="_GoBack"/>
      <w:bookmarkEnd w:id="0"/>
      <w:r>
        <w:rPr>
          <w:rFonts w:ascii="Times New Roman" w:hAnsi="宋体" w:eastAsia="宋体" w:cs="Times New Roman"/>
          <w:sz w:val="21"/>
          <w:szCs w:val="21"/>
          <w:lang w:eastAsia="zh-CN"/>
        </w:rPr>
        <w:t>中亚五国中，吉尔吉斯斯坦对中国产业转移吸引力相对较弱的原因可能是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自然资源相对贫乏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经济基础相对落后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生产成本相对较高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地理位置相对偏远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为更好地承接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一带一路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国际产业转移，中亚五国应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加快交通基础设施建设，促进道路互通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提高农牧矿业产值比重，扩大边境贸易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充分开发利用自然资源，保护生态环境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大力发展高新技术产业，提升竞争能力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二、非选择题：本题共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阅读图文材料，完成下列要求。（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ind w:firstLine="420" w:firstLineChars="2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阿根廷农牧业发达，以牧牛业为主，牲畜品种优良。境内的潘帕斯草原气候温和，草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类茂盛，该国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80%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的牛肉产自这里。与大多数国家工业化牛棚养牛不同，这里采用的是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露天围栏放牧方式（如有的牧场牧草需要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天才能恢复生长，就把牧场分为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块，用围栏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隔开，每块放牧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天，等到第一块长出新草再回来放牧，依次循环往复）。牧区内利用风车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提水喂牲畜和灌溉草原，所产牛肉肉质鲜嫩，营养丰富。图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为阿根廷地理略图，图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意工业化牛棚养牛，图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示意露天围栏放牧。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3731260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与工业化牛棚养牛相比，说明潘帕斯草原露天围栏放牧的优越性。（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分析潘帕斯草原所产牛肉肉质鲜嫩的主要原因。（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明阿根廷铁路布局特点及其对潘帕斯草原牧牛业发展的影响。（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阅读图文材料，完成下列要求。（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ind w:firstLine="420" w:firstLineChars="2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新疆水资源短缺，部分地区经济发展超过当地水资源承载能力，严重制约了区域经济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社会可持续发展并导致生态环境恶化。为改善水资源空间不均衡的现状，近年来，新疆在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额尔齐斯河流域规划建设了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引额调水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一系列水利工程－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引额济克（克拉玛依）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及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引额济乌（乌鲁木齐）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，有效地解决了两市资源性缺水问题。图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示意新疆地形、水系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分布，图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示意新疆水资源量、人均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GDP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空间分布及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引额调水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路线。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533900" cy="29337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476750" cy="29908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描述新疆天山以北地区水资源的空间分布特点。（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说明规划建设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引额调水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工程的必要性和可行性。（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结合图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评价新疆水资源分布与经济发展的关系。（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阅读下列图文材料，完成下列要求。（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ind w:firstLine="420" w:firstLineChars="2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植被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NDVI(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归一化植被指数）是指示植被密度及其动态变化的重要因子，与植被覆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盖密度呈正相关。黔桂喀斯特山区多峰林峰丛，最高海拔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2800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米。近年来的研究发现，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2000~2016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年黔桂喀斯特山区年均植被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NDVI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呈明显增加趋势，植被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NDVI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的变化随海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拔高度变化明显，随坡向（阳坡和阴坡）的变化不明显。图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示意黔桂喀斯特山区不同森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林植被类型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NDVI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随海拔高度变化趋势。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124325" cy="26765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说明黔桂喀斯特山区森林植被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NDVI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随海拔高度变化的基本特征。（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分析黔桂喀斯特山区海拔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米以上森林植被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NDVI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较低的主要原因。（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分析黔桂喀斯特山区植被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NDVI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随坡向变化不明显的主要原因。（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简述黔桂喀斯特山区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2000~2016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年年均植被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NDVI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增加产生的生态意义。（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jc w:val="center"/>
        <w:rPr>
          <w:rFonts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ascii="Times New Roman" w:hAnsi="宋体" w:eastAsia="宋体" w:cs="Times New Roman"/>
          <w:b/>
          <w:sz w:val="36"/>
          <w:szCs w:val="36"/>
          <w:lang w:eastAsia="zh-CN"/>
        </w:rPr>
        <w:t>武汉市</w:t>
      </w:r>
      <w:r>
        <w:rPr>
          <w:rFonts w:ascii="Times New Roman" w:hAnsi="Times New Roman" w:eastAsia="宋体" w:cs="Times New Roman"/>
          <w:b/>
          <w:sz w:val="36"/>
          <w:szCs w:val="36"/>
          <w:lang w:eastAsia="zh-CN"/>
        </w:rPr>
        <w:t>2021</w:t>
      </w:r>
      <w:r>
        <w:rPr>
          <w:rFonts w:ascii="Times New Roman" w:hAnsi="宋体" w:eastAsia="宋体" w:cs="Times New Roman"/>
          <w:b/>
          <w:sz w:val="36"/>
          <w:szCs w:val="36"/>
          <w:lang w:eastAsia="zh-CN"/>
        </w:rPr>
        <w:t>届高中毕业生三月质量检测</w:t>
      </w:r>
    </w:p>
    <w:p>
      <w:pPr>
        <w:pStyle w:val="2"/>
        <w:spacing w:after="0" w:line="240" w:lineRule="auto"/>
        <w:jc w:val="center"/>
        <w:rPr>
          <w:rFonts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ascii="Times New Roman" w:hAnsi="宋体" w:eastAsia="宋体" w:cs="Times New Roman"/>
          <w:b/>
          <w:sz w:val="36"/>
          <w:szCs w:val="36"/>
          <w:lang w:eastAsia="zh-CN"/>
        </w:rPr>
        <w:t>地理参考答案</w:t>
      </w:r>
    </w:p>
    <w:p>
      <w:pPr>
        <w:pStyle w:val="2"/>
        <w:spacing w:after="0" w:line="240" w:lineRule="auto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一、选择题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38100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二、非选择题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16.(19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份）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分）充分利用草场资源，保护草场生态环境，提高草场利用率；牧草新鲜，营养丰富，确保牛肉肉质鲜嫩；投入少，节省劳动力，牧牛成本低。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分）牧草新鲜，营养丰富：牧区水源丰富，水质好；牛的活动范围广，在天然环境中自然生长（长膘快，出栏快）。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3)(7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多条铁路自首都向内地牧区延伸，形成了以首都为中心向内地牧区辐射的扇形铁路网；铁路将沿海港口和牧牛区相连接。铁路网把牧牛区的肉牛运到沿海港口城市屠宰加工后外运；加强了牧牛区和加工区的生产联系，促进了牧牛业的发展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17.(16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分）空间分布不均，北多南少，西多东少；山地多，盆（平）地少。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必要性：克拉玛依和乌鲁木齐经济发展水平高，水资源相对短缺，引额调水可缓解水资源不足的问题。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可行性：额尔齐斯河流域水量丰富，水质好，经济发展水平较低，水资源需求量少，水资源富余；地势北高南低，可自流输水；空间距离短，输水线路短，节省投资。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3)(6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新疆经济发展布局与水资源的空间分布存在明显不匹配现象；位于天山北坡经济带的乌鲁木齐市和克拉玛依市经济发展水平较高，而水资源量不足，严重制约了经济的发展；南疆的和田和喀什等地区经济发展水平较低。而水资源相对丰富，水资源未能得到充分合理的有效利用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18.(20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分）随海拔高度增加呈现明显单峰变化；海拔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400-600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米高度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NDVI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最大，自此高度向下向上递减。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分）海拔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米以上的山地，海拔较高，气温较低，水热条件差；海拔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米以上风速较大；坡度大，土层薄，土壤贫瘠。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3)(4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分）纬度较低，海拔较低，光热水条件较好；阳坡和阴坡光热水条件差异不大。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4)(6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分）涵养水源，保持水土，有效防治当地石质荒漠化发展；保护生物多样性、维护生态平衡；改善当地大气、水环境质量。</w:t>
      </w:r>
    </w:p>
    <w:p>
      <w:pPr>
        <w:pStyle w:val="2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B28C2"/>
    <w:rsid w:val="0D0B28C2"/>
    <w:rsid w:val="2FDE3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2021-03-04T08:25:00Z</dcterms:created>
  <dc:creator>Administrator</dc:creator>
  <cp:lastModifiedBy>Administrator</cp:lastModifiedBy>
  <dcterms:modified xsi:type="dcterms:W3CDTF">2021-03-10T06:58:36Z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