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eastAsia="宋体" w:cs="Times New Roman"/>
          <w:b/>
          <w:sz w:val="32"/>
          <w:szCs w:val="36"/>
        </w:rPr>
      </w:pPr>
      <w:r>
        <w:rPr>
          <w:rFonts w:hint="eastAsia" w:ascii="Times New Roman" w:hAnsi="Times New Roman" w:eastAsia="宋体" w:cs="Times New Roman"/>
          <w:b/>
          <w:sz w:val="32"/>
          <w:szCs w:val="36"/>
        </w:rPr>
        <w:t>2</w:t>
      </w:r>
      <w:r>
        <w:rPr>
          <w:rFonts w:ascii="Times New Roman" w:hAnsi="Times New Roman" w:eastAsia="宋体" w:cs="Times New Roman"/>
          <w:b/>
          <w:sz w:val="32"/>
          <w:szCs w:val="36"/>
        </w:rPr>
        <w:t>020-2021</w:t>
      </w:r>
      <w:r>
        <w:rPr>
          <w:rFonts w:hint="eastAsia" w:ascii="Times New Roman" w:hAnsi="Times New Roman" w:eastAsia="宋体" w:cs="Times New Roman"/>
          <w:b/>
          <w:sz w:val="32"/>
          <w:szCs w:val="36"/>
        </w:rPr>
        <w:t>南京市第二十九中学3月月考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sz w:val="28"/>
          <w:szCs w:val="32"/>
        </w:rPr>
      </w:pPr>
      <w:r>
        <w:rPr>
          <w:rFonts w:hint="eastAsia" w:ascii="Times New Roman" w:hAnsi="Times New Roman" w:eastAsia="宋体" w:cs="Times New Roman"/>
          <w:b/>
          <w:sz w:val="28"/>
          <w:szCs w:val="32"/>
        </w:rPr>
        <w:t>高二地理</w:t>
      </w:r>
    </w:p>
    <w:p>
      <w:pPr>
        <w:spacing w:line="360" w:lineRule="auto"/>
        <w:rPr>
          <w:rFonts w:ascii="Times New Roman" w:hAnsi="Times New Roman" w:eastAsia="宋体" w:cs="Times New Roman"/>
          <w:bCs/>
        </w:rPr>
      </w:pPr>
      <w:r>
        <w:rPr>
          <w:rFonts w:ascii="Times New Roman" w:hAnsi="Times New Roman" w:eastAsia="宋体" w:cs="Times New Roman"/>
          <w:bCs/>
        </w:rPr>
        <w:t>注意事项：本试卷</w:t>
      </w:r>
      <w:r>
        <w:rPr>
          <w:rFonts w:hint="eastAsia" w:ascii="Times New Roman" w:hAnsi="Times New Roman" w:eastAsia="宋体" w:cs="Times New Roman"/>
          <w:bCs/>
        </w:rPr>
        <w:t>共8面，</w:t>
      </w:r>
      <w:r>
        <w:rPr>
          <w:rFonts w:ascii="Times New Roman" w:hAnsi="Times New Roman" w:eastAsia="宋体" w:cs="Times New Roman"/>
          <w:bCs/>
        </w:rPr>
        <w:t>分为选择题和综合题两部分</w:t>
      </w:r>
      <w:r>
        <w:rPr>
          <w:rFonts w:hint="eastAsia" w:ascii="Times New Roman" w:hAnsi="Times New Roman" w:eastAsia="宋体" w:cs="Times New Roman"/>
          <w:bCs/>
        </w:rPr>
        <w:t>。</w:t>
      </w:r>
      <w:r>
        <w:rPr>
          <w:rFonts w:ascii="Times New Roman" w:hAnsi="Times New Roman" w:eastAsia="宋体" w:cs="Times New Roman"/>
          <w:bCs/>
        </w:rPr>
        <w:t>试卷满分100分，考试用时75分钟。</w:t>
      </w:r>
    </w:p>
    <w:p>
      <w:pPr>
        <w:spacing w:line="360" w:lineRule="auto"/>
        <w:rPr>
          <w:rFonts w:ascii="Times New Roman" w:hAnsi="Times New Roman" w:eastAsia="黑体" w:cs="Times New Roman"/>
          <w:bCs/>
        </w:rPr>
      </w:pPr>
      <w:r>
        <w:rPr>
          <w:rFonts w:ascii="Times New Roman" w:hAnsi="Times New Roman" w:eastAsia="黑体" w:cs="Times New Roman"/>
          <w:bCs/>
        </w:rPr>
        <w:t>一、单选题（共23题，每题2分，共46分）</w:t>
      </w:r>
    </w:p>
    <w:p>
      <w:pPr>
        <w:spacing w:line="360" w:lineRule="auto"/>
        <w:ind w:firstLine="420"/>
        <w:jc w:val="left"/>
        <w:textAlignment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平潭是福建省一个岛县，当地盛传“光长石头不长草，风沙满地跑，房子像碉堡”的民谣。当地人就地取材，利用岛上丰富的花岗岩作为建筑材料，建造如下图所示的石头房屋，名为石头厝。其独特的造型是海岛居住文化的“活化石”。据此完成1-2题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129540</wp:posOffset>
            </wp:positionV>
            <wp:extent cx="2669540" cy="1691640"/>
            <wp:effectExtent l="0" t="0" r="16510" b="3810"/>
            <wp:wrapNone/>
            <wp:docPr id="100002" name="图片 1000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 descr="figure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2888615" cy="1866900"/>
            <wp:effectExtent l="0" t="0" r="6985" b="0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7901" cy="187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1．石头厝的特征及其对应功能正确的是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A．房屋低矮—便于保温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B．屋顶缓—防暴雨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C．窗户小—防外敌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D．石头压瓦—防大风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2．结合平潭的地理特征，以下说法中正确的是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A．该地降水少主要是由于沿岸寒流降温减湿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B．该地适宜发展的产业有渔业、风电、旅游业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C．该地主要房屋建材是岩浆喷出冷却凝固而形成的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D．由于台湾山脉的阻挡，该地夏秋免遭台风灾害</w:t>
      </w:r>
    </w:p>
    <w:p>
      <w:pPr>
        <w:spacing w:line="360" w:lineRule="auto"/>
        <w:ind w:firstLine="420"/>
        <w:jc w:val="left"/>
        <w:textAlignment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2020年10月某日游客在瑞士采马尔特小镇拍摄到马特洪峰（4478米）的黄金日出景观（下图）。阳光照射到山顶，经岩石和积雪反射，游客恰好观赏到整个山顶呈现一片金黄（图中山峰上部）。据此完成3-4题。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2933700" cy="1781175"/>
            <wp:effectExtent l="0" t="0" r="0" b="9525"/>
            <wp:docPr id="1028736686" name="图片 102873668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36686" name="图片 1028736686" descr="figur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3．采马尔特小镇位于马特洪峰的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A．东南方向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B．东北方向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C．西南方向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D．西北方向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4．游客拍照时的大致时间及山顶金色区域变化趋势是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A．5：20变大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B．5：20变小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C．6：40变大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D．6：40变小</w:t>
      </w:r>
    </w:p>
    <w:p>
      <w:pPr>
        <w:spacing w:line="360" w:lineRule="auto"/>
        <w:ind w:firstLine="420"/>
        <w:jc w:val="left"/>
        <w:textAlignment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1667510</wp:posOffset>
            </wp:positionH>
            <wp:positionV relativeFrom="paragraph">
              <wp:posOffset>388620</wp:posOffset>
            </wp:positionV>
            <wp:extent cx="2308860" cy="1609090"/>
            <wp:effectExtent l="0" t="0" r="15240" b="10160"/>
            <wp:wrapTopAndBottom/>
            <wp:docPr id="3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0001" descr="fig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 w:cs="Times New Roman"/>
        </w:rPr>
        <w:t>墨西哥城位于19</w:t>
      </w:r>
      <w:r>
        <w:rPr>
          <w:rFonts w:ascii="Times New Roman" w:hAnsi="Times New Roman" w:eastAsia="楷体" w:cs="Times New Roman"/>
          <w:vertAlign w:val="superscript"/>
        </w:rPr>
        <w:t>0</w:t>
      </w:r>
      <w:r>
        <w:rPr>
          <w:rFonts w:ascii="Times New Roman" w:hAnsi="Times New Roman" w:eastAsia="楷体" w:cs="Times New Roman"/>
        </w:rPr>
        <w:t>N，在海拔约2250米的盆地中，如下图，该市有2000余万人口，3.5万家工厂，约有300万辆汽车。据此回答5-6题。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5．墨西哥城每年11月至次年4月多发生严重的光化学烟雾污染，主要原因有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A．该期间多气旋活动，影响污染气体的扩散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B．受温室效应影响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C．汽车尾气和生产、生活废气排放量小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D．该期间天气晴朗，光照强;且盆地地形，多逆温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6．环境保护已经成为我国的一项基本国策，下列不属于我国三大环境管理政策的是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A．预防为主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B．谁污染谁治理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C．强化环境管理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D．公众参与</w:t>
      </w:r>
    </w:p>
    <w:p>
      <w:pPr>
        <w:spacing w:line="360" w:lineRule="auto"/>
        <w:ind w:firstLine="405"/>
        <w:jc w:val="left"/>
        <w:textAlignment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河流蛇曲大多发育在地表相对平坦、物质软硬适度的区域，其形状似希腊字母Ω。在永和的晋陕大峡谷中，却存在特殊的嵌入式蛇曲景观（下图）——蛇曲嵌入地下岩石中。据此完成7-8题。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3011805" cy="1897380"/>
            <wp:effectExtent l="0" t="0" r="17145" b="7620"/>
            <wp:docPr id="255423312" name="图片 2554233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23312" name="图片 255423312" descr="figure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9" cy="190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7．一般蛇曲进一步发展，会使该段河流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A．最终可能自然裁弯取直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               B．曲度不断减小</w:t>
      </w:r>
      <w:r>
        <w:rPr>
          <w:rFonts w:ascii="Times New Roman" w:hAnsi="Times New Roman" w:eastAsia="宋体" w:cs="Times New Roman"/>
        </w:rPr>
        <w:tab/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C．流速逐渐增大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 xml:space="preserve">                        D．含沙量会先增大再减小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8．推断晋陕大峡谷嵌入式蛇曲的形成过程是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A．地壳断裂下陷，河流流经低矮处且不断下蚀和侧蚀</w:t>
      </w:r>
      <w:r>
        <w:rPr>
          <w:rFonts w:ascii="Times New Roman" w:hAnsi="Times New Roman" w:eastAsia="宋体" w:cs="Times New Roman"/>
        </w:rPr>
        <w:tab/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B．地壳抬升，流水下蚀形成峡谷并继续侧蚀形成曲流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C．河流侧蚀形成曲流，地壳下陷形成谷地并继续下蚀</w:t>
      </w:r>
      <w:r>
        <w:rPr>
          <w:rFonts w:ascii="Times New Roman" w:hAnsi="Times New Roman" w:eastAsia="宋体" w:cs="Times New Roman"/>
        </w:rPr>
        <w:tab/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D．河流侧蚀形成曲流，地壳抬升保留弯曲并继续下蚀</w:t>
      </w:r>
    </w:p>
    <w:p>
      <w:pPr>
        <w:spacing w:line="360" w:lineRule="auto"/>
        <w:ind w:firstLine="420"/>
        <w:jc w:val="left"/>
        <w:textAlignment w:val="center"/>
        <w:rPr>
          <w:rFonts w:ascii="Times New Roman" w:hAnsi="Times New Roman" w:eastAsia="楷体" w:cs="Times New Roman"/>
        </w:rPr>
      </w:pPr>
      <w:r>
        <w:rPr>
          <w:rFonts w:hint="eastAsia" w:ascii="Times New Roman" w:hAnsi="Times New Roman" w:eastAsia="楷体" w:cs="Times New Roman"/>
        </w:rPr>
        <w:t>右图</w:t>
      </w:r>
      <w:r>
        <w:rPr>
          <w:rFonts w:ascii="Times New Roman" w:hAnsi="Times New Roman" w:eastAsia="楷体" w:cs="Times New Roman"/>
        </w:rPr>
        <w:t>是我国某石灰岩分布广泛地区的等高线图，</w:t>
      </w:r>
      <w:r>
        <w:rPr>
          <w:rFonts w:hint="eastAsia" w:ascii="Times New Roman" w:hAnsi="Times New Roman" w:eastAsia="楷体" w:cs="Times New Roman"/>
        </w:rPr>
        <w:t>右图</w:t>
      </w:r>
      <w:r>
        <w:rPr>
          <w:rFonts w:ascii="Times New Roman" w:hAnsi="Times New Roman" w:eastAsia="楷体" w:cs="Times New Roman"/>
        </w:rPr>
        <w:t>中A河流被称为“白水河”，人们发现这条河流的底部呈乳白色；而B河流被称为“黑水河”，人们发现这条河流的底部沉积了大量黑色的淤泥。</w:t>
      </w:r>
      <w:r>
        <w:rPr>
          <w:rFonts w:hint="eastAsia" w:ascii="Times New Roman" w:hAnsi="Times New Roman" w:eastAsia="楷体" w:cs="Times New Roman"/>
        </w:rPr>
        <w:t>左图</w:t>
      </w:r>
      <w:r>
        <w:rPr>
          <w:rFonts w:ascii="Times New Roman" w:hAnsi="Times New Roman" w:eastAsia="楷体" w:cs="Times New Roman"/>
        </w:rPr>
        <w:t>是</w:t>
      </w:r>
      <w:r>
        <w:rPr>
          <w:rFonts w:hint="eastAsia" w:ascii="Times New Roman" w:hAnsi="Times New Roman" w:eastAsia="楷体" w:cs="Times New Roman"/>
        </w:rPr>
        <w:t>右图</w:t>
      </w:r>
      <w:r>
        <w:rPr>
          <w:rFonts w:ascii="Times New Roman" w:hAnsi="Times New Roman" w:eastAsia="楷体" w:cs="Times New Roman"/>
        </w:rPr>
        <w:t>中M处天然形成的碳酸钙沉积作用形成的水池，并且还在不断地增多和长大，科学术语被称为“钙化池”，钙化池光滑平整，水平如镜，清澈见底。据此回答9-10题。</w:t>
      </w:r>
    </w:p>
    <w:p>
      <w:pPr>
        <w:spacing w:line="360" w:lineRule="auto"/>
        <w:ind w:firstLine="1890" w:firstLineChars="900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3379470" cy="1531620"/>
            <wp:effectExtent l="0" t="0" r="11430" b="11430"/>
            <wp:docPr id="4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0001" descr="fig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83"/>
                    <a:stretch>
                      <a:fillRect/>
                    </a:stretch>
                  </pic:blipFill>
                  <pic:spPr>
                    <a:xfrm>
                      <a:off x="0" y="0"/>
                      <a:ext cx="3397608" cy="153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9．图中M处钙化池形成的碳酸钙来源于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A．A河流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B．B河流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C．C山脊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D．D河流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10．从钙化池的形成中可以判断下列说法正确的是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</w:rPr>
        <w:t>①</w:t>
      </w:r>
      <w:r>
        <w:rPr>
          <w:rFonts w:ascii="Times New Roman" w:hAnsi="Times New Roman" w:eastAsia="宋体" w:cs="Times New Roman"/>
        </w:rPr>
        <w:t>池的外边缘流速较池内小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  </w:t>
      </w:r>
      <w:r>
        <w:rPr>
          <w:rFonts w:hint="eastAsia" w:ascii="宋体" w:hAnsi="宋体" w:eastAsia="宋体" w:cs="宋体"/>
        </w:rPr>
        <w:t>②</w:t>
      </w:r>
      <w:r>
        <w:rPr>
          <w:rFonts w:ascii="Times New Roman" w:hAnsi="Times New Roman" w:eastAsia="宋体" w:cs="Times New Roman"/>
        </w:rPr>
        <w:t>池的外边缘较池内流速大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hint="eastAsia" w:ascii="宋体" w:hAnsi="宋体" w:eastAsia="宋体" w:cs="宋体"/>
        </w:rPr>
        <w:t>③</w:t>
      </w:r>
      <w:r>
        <w:rPr>
          <w:rFonts w:ascii="Times New Roman" w:hAnsi="Times New Roman" w:eastAsia="宋体" w:cs="Times New Roman"/>
        </w:rPr>
        <w:t>池内沉积作用快于池的边缘</w:t>
      </w:r>
      <w:r>
        <w:rPr>
          <w:rFonts w:hint="eastAsia" w:ascii="Times New Roman" w:hAnsi="Times New Roman" w:eastAsia="宋体" w:cs="Times New Roman"/>
        </w:rPr>
        <w:t xml:space="preserve"> </w:t>
      </w:r>
      <w:r>
        <w:rPr>
          <w:rFonts w:ascii="Times New Roman" w:hAnsi="Times New Roman" w:eastAsia="宋体" w:cs="Times New Roman"/>
        </w:rPr>
        <w:t xml:space="preserve">     </w:t>
      </w:r>
      <w:r>
        <w:rPr>
          <w:rFonts w:hint="eastAsia" w:ascii="宋体" w:hAnsi="宋体" w:eastAsia="宋体" w:cs="宋体"/>
        </w:rPr>
        <w:t>④</w:t>
      </w:r>
      <w:r>
        <w:rPr>
          <w:rFonts w:ascii="Times New Roman" w:hAnsi="Times New Roman" w:eastAsia="宋体" w:cs="Times New Roman"/>
        </w:rPr>
        <w:t>池的边缘沉积作用快于池内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  <w:kern w:val="0"/>
        </w:rPr>
      </w:pPr>
      <w:r>
        <w:rPr>
          <w:rFonts w:ascii="Times New Roman" w:hAnsi="Times New Roman" w:eastAsia="宋体" w:cs="Times New Roman"/>
          <w:kern w:val="0"/>
        </w:rPr>
        <w:t>A．</w:t>
      </w:r>
      <w:r>
        <w:rPr>
          <w:rFonts w:hint="eastAsia" w:ascii="宋体" w:hAnsi="宋体" w:eastAsia="宋体" w:cs="宋体"/>
          <w:kern w:val="0"/>
        </w:rPr>
        <w:t>①③</w:t>
      </w:r>
      <w:r>
        <w:rPr>
          <w:rFonts w:ascii="Times New Roman" w:hAnsi="Times New Roman" w:eastAsia="宋体" w:cs="Times New Roman"/>
          <w:kern w:val="0"/>
        </w:rPr>
        <w:tab/>
      </w:r>
      <w:r>
        <w:rPr>
          <w:rFonts w:ascii="Times New Roman" w:hAnsi="Times New Roman" w:eastAsia="宋体" w:cs="Times New Roman"/>
          <w:kern w:val="0"/>
        </w:rPr>
        <w:t xml:space="preserve">            B．</w:t>
      </w:r>
      <w:r>
        <w:rPr>
          <w:rFonts w:hint="eastAsia" w:ascii="宋体" w:hAnsi="宋体" w:eastAsia="宋体" w:cs="宋体"/>
          <w:kern w:val="0"/>
        </w:rPr>
        <w:t>②④</w:t>
      </w:r>
      <w:r>
        <w:rPr>
          <w:rFonts w:ascii="Times New Roman" w:hAnsi="Times New Roman" w:eastAsia="宋体" w:cs="Times New Roman"/>
          <w:kern w:val="0"/>
        </w:rPr>
        <w:tab/>
      </w:r>
      <w:r>
        <w:rPr>
          <w:rFonts w:ascii="Times New Roman" w:hAnsi="Times New Roman" w:eastAsia="宋体" w:cs="Times New Roman"/>
          <w:kern w:val="0"/>
        </w:rPr>
        <w:t xml:space="preserve">            C．</w:t>
      </w:r>
      <w:r>
        <w:rPr>
          <w:rFonts w:hint="eastAsia" w:ascii="宋体" w:hAnsi="宋体" w:eastAsia="宋体" w:cs="宋体"/>
          <w:kern w:val="0"/>
        </w:rPr>
        <w:t>①④</w:t>
      </w:r>
      <w:r>
        <w:rPr>
          <w:rFonts w:ascii="Times New Roman" w:hAnsi="Times New Roman" w:eastAsia="宋体" w:cs="Times New Roman"/>
          <w:kern w:val="0"/>
        </w:rPr>
        <w:tab/>
      </w:r>
      <w:r>
        <w:rPr>
          <w:rFonts w:ascii="Times New Roman" w:hAnsi="Times New Roman" w:eastAsia="宋体" w:cs="Times New Roman"/>
          <w:kern w:val="0"/>
        </w:rPr>
        <w:t xml:space="preserve">           D．</w:t>
      </w:r>
      <w:r>
        <w:rPr>
          <w:rFonts w:hint="eastAsia" w:ascii="宋体" w:hAnsi="宋体" w:eastAsia="宋体" w:cs="宋体"/>
          <w:kern w:val="0"/>
        </w:rPr>
        <w:t>②③</w:t>
      </w:r>
    </w:p>
    <w:p>
      <w:pPr>
        <w:spacing w:line="360" w:lineRule="auto"/>
        <w:ind w:firstLine="420"/>
        <w:jc w:val="left"/>
        <w:textAlignment w:val="center"/>
        <w:rPr>
          <w:rFonts w:hint="eastAsia" w:ascii="Times New Roman" w:hAnsi="Times New Roman" w:eastAsia="楷体" w:cs="Times New Roman"/>
        </w:rPr>
      </w:pPr>
      <w:r>
        <w:rPr>
          <w:rFonts w:ascii="Times New Roman" w:hAnsi="Times New Roman" w:eastAsia="宋体" w:cs="Times New Roma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2680970</wp:posOffset>
            </wp:positionH>
            <wp:positionV relativeFrom="paragraph">
              <wp:posOffset>83820</wp:posOffset>
            </wp:positionV>
            <wp:extent cx="2946400" cy="3416935"/>
            <wp:effectExtent l="0" t="0" r="6350" b="12065"/>
            <wp:wrapSquare wrapText="bothSides"/>
            <wp:docPr id="100004" name="图片 1000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figure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楷体" w:cs="Times New Roman"/>
        </w:rPr>
        <w:t>经济的发展往往伴随着人口的流动。下图为2019年流入人口前15名的城市所属省份。读图，完成11-12题。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11．流入人口前15名的城市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3318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A．均为省级行政中心</w:t>
      </w:r>
      <w:r>
        <w:rPr>
          <w:rFonts w:ascii="Times New Roman" w:hAnsi="Times New Roman" w:eastAsia="宋体" w:cs="Times New Roman"/>
        </w:rPr>
        <w:tab/>
      </w:r>
    </w:p>
    <w:p>
      <w:pPr>
        <w:tabs>
          <w:tab w:val="left" w:pos="3318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B．都处于外流区</w:t>
      </w:r>
    </w:p>
    <w:p>
      <w:pPr>
        <w:tabs>
          <w:tab w:val="left" w:pos="3318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C．地处地势第三级阶梯</w:t>
      </w:r>
      <w:r>
        <w:rPr>
          <w:rFonts w:ascii="Times New Roman" w:hAnsi="Times New Roman" w:eastAsia="宋体" w:cs="Times New Roman"/>
        </w:rPr>
        <w:tab/>
      </w:r>
    </w:p>
    <w:p>
      <w:pPr>
        <w:tabs>
          <w:tab w:val="left" w:pos="3318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D．有5个位于鄂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12．上海市流入人口最多，安徽省是其人口主要来源地之一，原因最可能是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3318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A．两地的地理位置相邻，交通联系便利</w:t>
      </w:r>
      <w:r>
        <w:rPr>
          <w:rFonts w:ascii="Times New Roman" w:hAnsi="Times New Roman" w:eastAsia="宋体" w:cs="Times New Roman"/>
        </w:rPr>
        <w:tab/>
      </w:r>
    </w:p>
    <w:p>
      <w:pPr>
        <w:tabs>
          <w:tab w:val="left" w:pos="3318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B．安徽省生态环境脆弱，环境承载力低</w:t>
      </w:r>
    </w:p>
    <w:p>
      <w:pPr>
        <w:tabs>
          <w:tab w:val="left" w:pos="3318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C．与上海周边相比，安徽省经济较落后</w:t>
      </w:r>
      <w:r>
        <w:rPr>
          <w:rFonts w:ascii="Times New Roman" w:hAnsi="Times New Roman" w:eastAsia="宋体" w:cs="Times New Roman"/>
        </w:rPr>
        <w:tab/>
      </w:r>
    </w:p>
    <w:p>
      <w:pPr>
        <w:tabs>
          <w:tab w:val="left" w:pos="3318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D．安徽省可以为上海提供大量科技人才</w:t>
      </w:r>
    </w:p>
    <w:p>
      <w:pPr>
        <w:spacing w:line="360" w:lineRule="auto"/>
        <w:ind w:firstLine="420"/>
        <w:jc w:val="left"/>
        <w:textAlignment w:val="center"/>
        <w:rPr>
          <w:rFonts w:ascii="Times New Roman" w:hAnsi="Times New Roman" w:eastAsia="楷体" w:cs="Times New Roman"/>
        </w:rPr>
      </w:pPr>
    </w:p>
    <w:p>
      <w:pPr>
        <w:spacing w:line="360" w:lineRule="auto"/>
        <w:ind w:firstLine="420"/>
        <w:jc w:val="left"/>
        <w:textAlignment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高山蔬菜是在海拔800米以上的耕地上，利用高海拔区域夏季温凉的气候条件，生产夏秋季上市的反季节蔬菜。秦巴山区、川西高原和山地、大小凉山山区、乌蒙山区是四川省四大高山蔬菜优势区，生产的高山蔬菜因品质优良，大量销往东部沿海地区，广受消费者欢迎。下图示意四川省高山蔬菜优势区分布。据此完成13-14题。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2270760" cy="1812925"/>
            <wp:effectExtent l="0" t="0" r="15240" b="15875"/>
            <wp:docPr id="479186180" name="图片 47918618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86180" name="图片 479186180" descr="figur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3512" cy="182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13．四川省高山蔬菜品质优良的主要原因是高海拔地区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A．气候温凉，生长期长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B．远离污染，少病虫害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C．土地辽阔，地租低廉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D．交通便利，保鲜保质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14．为了进一步提高高山蔬菜的市场竞争力，应采取的有效措施是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A．重视干鲜蔬菜产品的加工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B．农林牧渔全面协调发展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C．规模化种植，标准化生产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D．引进热带菜种，完善种植结构</w:t>
      </w:r>
    </w:p>
    <w:p>
      <w:pPr>
        <w:spacing w:line="360" w:lineRule="auto"/>
        <w:ind w:firstLine="420"/>
        <w:jc w:val="left"/>
        <w:textAlignment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茶马古道是指存在于中国西南地区,以马帮为主要交通工具的民间国际商贸通道,茶马古道源于古代西南边疆的茶马互市,兴于唐宋,盛于明清,二战中后期最为兴盛。茶马古道分陕甘、陕康藏、滇藏,连接川滇藏,延伸入不丹、尼泊尔、印度境内,直到抵达西亚、西非红海海岸。其中以川滇藏线路最为著名。下图为茶马古道路线区域图。据此完成15-17题。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2673350</wp:posOffset>
                </wp:positionH>
                <wp:positionV relativeFrom="paragraph">
                  <wp:posOffset>152400</wp:posOffset>
                </wp:positionV>
                <wp:extent cx="1310640" cy="403860"/>
                <wp:effectExtent l="0" t="0" r="3810" b="15240"/>
                <wp:wrapNone/>
                <wp:docPr id="1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40386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210.5pt;margin-top:12pt;height:31.8pt;width:103.2pt;z-index:251660288;v-text-anchor:middle;mso-width-relative:page;mso-height-relative:page;" fillcolor="#FFFFFF [3201]" filled="t" stroked="f" coordsize="21600,21600" arcsize="0.166666666666667" o:gfxdata="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sQ5kDY&#10;AAAACQEAAA8AAAAAAAAAAQAgAAAAIgAAAGRycy9kb3ducmV2LnhtbFBLAQIUABQAAAAIAIdO4kDo&#10;mkyvWQIAAIoEAAAOAAAAAAAAAAEAIAAAACcBAABkcnMvZTJvRG9jLnhtbFBLBQYAAAAABgAGAFkB&#10;AADyBQAAAAA=&#10;">
                <v:fill on="t" focussize="0,0"/>
                <v:stroke on="f" weight="1pt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4497705" cy="3181350"/>
            <wp:effectExtent l="0" t="0" r="17145" b="0"/>
            <wp:docPr id="991303398" name="图片 99130339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03398" name="图片 991303398" descr="figure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388" cy="320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15．现代普洱茶的售价仍然较高的原因为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A．距离市场远，运费成本高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B．采摘成术高，工艺复杂，制作成本高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C．茶叶产量少,市场需求大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D．商家炒作,虛抬价格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16．普洱茶主产区为思茅、普洱,普洱茶（熟茶）适合在茶马古道利用马帮进行运输的原因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 xml:space="preserve">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A．普洱茶的熟茶为发酵茶，耐储存、耐运输</w:t>
      </w:r>
      <w:r>
        <w:rPr>
          <w:rFonts w:ascii="Times New Roman" w:hAnsi="Times New Roman" w:eastAsia="宋体" w:cs="Times New Roman"/>
        </w:rPr>
        <w:tab/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B．普洱茶产量小，出口量小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C．普洱茶的市场需求少</w:t>
      </w:r>
      <w:r>
        <w:rPr>
          <w:rFonts w:ascii="Times New Roman" w:hAnsi="Times New Roman" w:eastAsia="宋体" w:cs="Times New Roman"/>
        </w:rPr>
        <w:tab/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D．普洱、思茅地区与外地市场路途地形平坦,马匹运力强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17．图示茶马古道经过地区地理特征为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A．少数民族人数少,民族类型少</w:t>
      </w:r>
      <w:r>
        <w:rPr>
          <w:rFonts w:ascii="Times New Roman" w:hAnsi="Times New Roman" w:eastAsia="宋体" w:cs="Times New Roman"/>
        </w:rPr>
        <w:tab/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B．通过横断山脉喜马拉雅山脉、祁连山脉等,地形起伏大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C．气候日温差小，年温差大.全年降水多</w:t>
      </w:r>
      <w:r>
        <w:rPr>
          <w:rFonts w:ascii="Times New Roman" w:hAnsi="Times New Roman" w:eastAsia="宋体" w:cs="Times New Roman"/>
        </w:rPr>
        <w:tab/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D．位于河流中上游,流速快,水能丰富</w:t>
      </w:r>
    </w:p>
    <w:p>
      <w:pPr>
        <w:spacing w:line="360" w:lineRule="auto"/>
        <w:ind w:firstLine="420"/>
        <w:jc w:val="left"/>
        <w:textAlignment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来自于生产、生活污水以及泥沙等的总氮（TN）是反映河流污染程度的一个重要指标。TN越大，水质越差。流域的土地利用对河流TN有重要影响。某科研团队对西南地区某流域（山地丘陵为主）7月和12月各土地利用类型面积与河流TN进行了相关分析，得出相关系数P值如表所示。据此完成18-19题。</w:t>
      </w:r>
    </w:p>
    <w:tbl>
      <w:tblPr>
        <w:tblStyle w:val="3"/>
        <w:tblW w:w="54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10"/>
        <w:gridCol w:w="1275"/>
        <w:gridCol w:w="1140"/>
        <w:gridCol w:w="1275"/>
        <w:gridCol w:w="9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时期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林地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耕地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建设用地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灌草地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7月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-0.800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0.373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0.786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0.540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  <w:jc w:val="center"/>
        </w:trPr>
        <w:tc>
          <w:tcPr>
            <w:tcW w:w="8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12月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-0.539</w:t>
            </w:r>
          </w:p>
        </w:tc>
        <w:tc>
          <w:tcPr>
            <w:tcW w:w="11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0.104</w:t>
            </w:r>
          </w:p>
        </w:tc>
        <w:tc>
          <w:tcPr>
            <w:tcW w:w="12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0.848</w:t>
            </w:r>
          </w:p>
        </w:tc>
        <w:tc>
          <w:tcPr>
            <w:tcW w:w="9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Times New Roman" w:hAnsi="Times New Roman" w:eastAsia="楷体" w:cs="Times New Roman"/>
              </w:rPr>
            </w:pPr>
            <w:r>
              <w:rPr>
                <w:rFonts w:ascii="Times New Roman" w:hAnsi="Times New Roman" w:eastAsia="楷体" w:cs="Times New Roman"/>
              </w:rPr>
              <w:t>0.241</w:t>
            </w:r>
          </w:p>
        </w:tc>
      </w:tr>
    </w:tbl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18．P值季节变化最小的土地利用类型，对河流贡献的TN主要源自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A．施用化肥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B．排放污水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C．枯枝落叶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D．大气降水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19．该流域灌草地的P值大于耕地，其原因之一是灌草地的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A．面积小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B．土层厚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C．坡度大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D．植株密</w:t>
      </w:r>
    </w:p>
    <w:p>
      <w:pPr>
        <w:spacing w:line="360" w:lineRule="auto"/>
        <w:ind w:firstLine="420"/>
        <w:jc w:val="left"/>
        <w:textAlignment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太湖南岸平原面积狭小,水流较急。古人结合当地环境，创造性地修建了“横塘纵溇”水利系统,逐级调蓄流水后入太湖，位置见下图。该系统连接了农户并使得当地“旱涝不及,为农美利”。完成20-22题。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3566160" cy="1928495"/>
            <wp:effectExtent l="0" t="0" r="15240" b="14605"/>
            <wp:docPr id="2016027822" name="图片 20160278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027822" name="图片 2016027822" descr="figur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0410" cy="194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20．“横塘纵溇”的主要目的有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A．旱引涝排和沟通水运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B．水力发电和水产养殖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C．沟通水运和水力发电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D．旱引涝排和水产养殖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21．该水利系统的的原理主要是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A．溇多塘少利于蓄水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B．溇港方便急流入湖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C．利于太湖调蓄横塘纵溇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D．关闭水闸可防湖水进溇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22．近年来，该地湖水富营养化严重，其原因是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A．调蓄径流功能下降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B．水中生物增加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C．农田使用化肥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D．生物多样性减少</w:t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Times New Roman" w:hAnsi="Times New Roman" w:eastAsia="宋体" w:cs="Times New Roman"/>
        </w:rPr>
        <w:t>23．</w:t>
      </w:r>
      <w:r>
        <w:rPr>
          <w:rFonts w:ascii="Times New Roman" w:hAnsi="Times New Roman" w:eastAsia="楷体" w:cs="Times New Roman"/>
        </w:rPr>
        <w:t>浙江省是全国现代生态循环农业发展首个试点省，始终践行“绿水青山就是金山银山"的发展理念。下图为浙江某市的大循环农业模式流程图。</w:t>
      </w:r>
      <w:r>
        <w:rPr>
          <w:rFonts w:hint="eastAsia" w:ascii="宋体" w:hAnsi="宋体" w:eastAsia="宋体" w:cs="宋体"/>
        </w:rPr>
        <w:t>该生态循环农业的主要生态效益有</w:t>
      </w:r>
      <w:r>
        <w:rPr>
          <w:rFonts w:hint="eastAsia" w:ascii="Times New Roman" w:hAnsi="Times New Roman" w:eastAsia="宋体" w:cs="Times New Roman"/>
        </w:rPr>
        <w:t xml:space="preserve">（ </w:t>
      </w:r>
      <w:r>
        <w:rPr>
          <w:rFonts w:ascii="Times New Roman" w:hAnsi="Times New Roman" w:eastAsia="宋体" w:cs="Times New Roman"/>
        </w:rPr>
        <w:t xml:space="preserve">    </w:t>
      </w:r>
      <w:r>
        <w:rPr>
          <w:rFonts w:hint="eastAsia" w:ascii="Times New Roman" w:hAnsi="Times New Roman" w:eastAsia="宋体" w:cs="Times New Roman"/>
        </w:rPr>
        <w:t>）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3490595" cy="1920240"/>
            <wp:effectExtent l="0" t="0" r="14605" b="3810"/>
            <wp:docPr id="9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0001" descr="fig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822" cy="192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①提高产品附加值  ②废弃物实现资源化  ③减轻水体污染  ④减轻土壤盐碱化</w:t>
      </w:r>
    </w:p>
    <w:p>
      <w:pPr>
        <w:tabs>
          <w:tab w:val="left" w:pos="2076"/>
          <w:tab w:val="left" w:pos="4153"/>
          <w:tab w:val="left" w:pos="6229"/>
        </w:tabs>
        <w:spacing w:line="360" w:lineRule="auto"/>
        <w:jc w:val="left"/>
        <w:textAlignment w:val="center"/>
        <w:rPr>
          <w:rFonts w:ascii="宋体" w:hAnsi="宋体" w:eastAsia="宋体" w:cs="宋体"/>
        </w:rPr>
      </w:pPr>
      <w:r>
        <w:rPr>
          <w:rFonts w:ascii="Times New Roman" w:hAnsi="Times New Roman" w:eastAsia="宋体" w:cs="Times New Roman"/>
        </w:rPr>
        <w:t>A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hint="eastAsia" w:ascii="宋体" w:hAnsi="宋体" w:eastAsia="宋体" w:cs="宋体"/>
        </w:rPr>
        <w:t>①②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B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hint="eastAsia" w:ascii="宋体" w:hAnsi="宋体" w:eastAsia="宋体" w:cs="宋体"/>
        </w:rPr>
        <w:t>①③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C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hint="eastAsia" w:ascii="宋体" w:hAnsi="宋体" w:eastAsia="宋体" w:cs="宋体"/>
        </w:rPr>
        <w:t>②③</w:t>
      </w:r>
      <w:r>
        <w:rPr>
          <w:rFonts w:ascii="Times New Roman" w:hAnsi="Times New Roman" w:eastAsia="宋体" w:cs="Times New Roman"/>
        </w:rPr>
        <w:tab/>
      </w:r>
      <w:r>
        <w:rPr>
          <w:rFonts w:ascii="Times New Roman" w:hAnsi="Times New Roman" w:eastAsia="宋体" w:cs="Times New Roman"/>
        </w:rPr>
        <w:t>D</w:t>
      </w:r>
      <w:r>
        <w:rPr>
          <w:rFonts w:hint="eastAsia" w:ascii="Times New Roman" w:hAnsi="Times New Roman" w:eastAsia="宋体" w:cs="Times New Roman"/>
        </w:rPr>
        <w:t>．</w:t>
      </w:r>
      <w:r>
        <w:rPr>
          <w:rFonts w:hint="eastAsia" w:ascii="宋体" w:hAnsi="宋体" w:eastAsia="宋体" w:cs="宋体"/>
        </w:rPr>
        <w:t>③④</w:t>
      </w:r>
    </w:p>
    <w:p>
      <w:pPr>
        <w:spacing w:line="360" w:lineRule="auto"/>
        <w:rPr>
          <w:rFonts w:ascii="Times New Roman" w:hAnsi="Times New Roman" w:eastAsia="黑体" w:cs="Times New Roman"/>
          <w:bCs/>
        </w:rPr>
      </w:pPr>
    </w:p>
    <w:p>
      <w:pPr>
        <w:spacing w:line="360" w:lineRule="auto"/>
        <w:rPr>
          <w:rFonts w:ascii="Times New Roman" w:hAnsi="Times New Roman" w:eastAsia="黑体" w:cs="Times New Roman"/>
          <w:bCs/>
        </w:rPr>
      </w:pPr>
      <w:r>
        <w:rPr>
          <w:rFonts w:ascii="Times New Roman" w:hAnsi="Times New Roman" w:eastAsia="黑体" w:cs="Times New Roman"/>
          <w:bCs/>
        </w:rPr>
        <w:t>二、综合题（共3题，共54分）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24．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18</w:t>
      </w:r>
      <w:r>
        <w:rPr>
          <w:rFonts w:hint="eastAsia" w:ascii="Times New Roman" w:hAnsi="Times New Roman" w:eastAsia="宋体" w:cs="Times New Roman"/>
        </w:rPr>
        <w:t>分）</w:t>
      </w:r>
      <w:r>
        <w:rPr>
          <w:rFonts w:ascii="Times New Roman" w:hAnsi="Times New Roman" w:eastAsia="宋体" w:cs="Times New Roman"/>
        </w:rPr>
        <w:t>阅读材料，完成下列要求。</w:t>
      </w:r>
    </w:p>
    <w:p>
      <w:pPr>
        <w:spacing w:line="360" w:lineRule="auto"/>
        <w:ind w:firstLine="420"/>
        <w:jc w:val="left"/>
        <w:textAlignment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2018年，国务院将武汉确定为中部地区中心城市。近几年来，武汉光谷已形成光电子信息、新能源与节能环保等产业集群，武汉市从传统的“钢城”向“芯城”升级。</w:t>
      </w:r>
    </w:p>
    <w:p>
      <w:pPr>
        <w:spacing w:line="360" w:lineRule="auto"/>
        <w:ind w:firstLine="420"/>
        <w:jc w:val="left"/>
        <w:textAlignment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从武汉建筑业协会获悉，2019年武汉市建筑业总产值首次突破万亿元，在全国城市排名中仅次于北京，在副省级城市中排名第一。因而不难想象这其中产生了大量建筑废弃物，将对武汉市容及环境都造成了不小的影响。</w:t>
      </w:r>
    </w:p>
    <w:p>
      <w:pPr>
        <w:spacing w:line="360" w:lineRule="auto"/>
        <w:ind w:firstLine="420"/>
        <w:jc w:val="left"/>
        <w:textAlignment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2020年3月17日，武汉市文化和旅游局在官方微博发布了32张感谢各省援助医疗队的海报，图三为其中之一．4月26日起，武汉市各旅行社可恢复运营。图一为武汉市及周边地区略图，图二为武汉某地建筑垃圾堆放景观图。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4091940" cy="3752850"/>
            <wp:effectExtent l="0" t="0" r="3810" b="0"/>
            <wp:docPr id="100008" name="图片 10000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figure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（1）从区位因素变化的角度，简述促使武汉市从“钢城”向“芯城”升级的原因。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6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（2）说出“烟花三月，一同登楼望春风”所体现的景观欣赏方法并为恢复后的武汉旅游提出合理建议。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6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（3）指出武汉建筑垃圾的来源及治理措施。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6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hint="eastAsia"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25．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18</w:t>
      </w:r>
      <w:r>
        <w:rPr>
          <w:rFonts w:hint="eastAsia" w:ascii="Times New Roman" w:hAnsi="Times New Roman" w:eastAsia="宋体" w:cs="Times New Roman"/>
        </w:rPr>
        <w:t>分）</w:t>
      </w:r>
      <w:r>
        <w:rPr>
          <w:rFonts w:ascii="Times New Roman" w:hAnsi="Times New Roman" w:eastAsia="宋体" w:cs="Times New Roman"/>
        </w:rPr>
        <w:t>阅读图文资料，完成下列要求。</w:t>
      </w:r>
    </w:p>
    <w:p>
      <w:pPr>
        <w:spacing w:line="360" w:lineRule="auto"/>
        <w:ind w:firstLine="420"/>
        <w:jc w:val="left"/>
        <w:textAlignment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山体效应主要指隆起地块的热力效应，形成相同海拔山体内部比外部气温高的现象。山体效应对山体的雪线和林线有显著影响，山体内外温差越大，山体效应越强。青藏高原作为亚欧大陆面积最大、海拔最高的高原，平均海拔3000—5000m，其山体效应显著，甚至比西欧的阿尔卑斯山脉（平均海拔3000m左右）更强。下图为山体效应模型图。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4055745" cy="2583180"/>
            <wp:effectExtent l="0" t="0" r="1905" b="7620"/>
            <wp:docPr id="100006" name="图片 10000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figur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0579" cy="259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（1）从山体效应原理对比分析青藏高原边缘与内部山地的整体林线高低。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3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（2）根据“地气系统辐射平衡”原理，分析山体效应的形成机制。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3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（3）推测青藏高原的山体效应比阿尔卑斯山脉更强的原因。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8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（4）最热月气温10°C等温线一般与山地林线相重合。但青藏高原的最高林线不与该线重合，而且位于藏东南部。请说明原因。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2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26．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18</w:t>
      </w:r>
      <w:r>
        <w:rPr>
          <w:rFonts w:hint="eastAsia" w:ascii="Times New Roman" w:hAnsi="Times New Roman" w:eastAsia="宋体" w:cs="Times New Roman"/>
        </w:rPr>
        <w:t>分）</w:t>
      </w:r>
      <w:r>
        <w:rPr>
          <w:rFonts w:ascii="Times New Roman" w:hAnsi="Times New Roman" w:eastAsia="宋体" w:cs="Times New Roman"/>
        </w:rPr>
        <w:t>阅读材料，完成下列小题。</w:t>
      </w:r>
    </w:p>
    <w:p>
      <w:pPr>
        <w:spacing w:line="360" w:lineRule="auto"/>
        <w:ind w:firstLine="420"/>
        <w:jc w:val="left"/>
        <w:textAlignment w:val="center"/>
        <w:rPr>
          <w:rFonts w:ascii="Times New Roman" w:hAnsi="Times New Roman" w:eastAsia="楷体" w:cs="Times New Roman"/>
        </w:rPr>
      </w:pPr>
      <w:r>
        <w:rPr>
          <w:rFonts w:ascii="Times New Roman" w:hAnsi="Times New Roman" w:eastAsia="楷体" w:cs="Times New Roman"/>
        </w:rPr>
        <w:t>“以桥代路”是指建设长距离高架桥作为陆地交通路线的铺设平台，而不直接占用既有的地上路面，属于现代土建工程的重要研究运用领城。2019年6月，敦格铁路全线完工，其中重难点工程小山沟特大桥是我国唯一座穿越活动性沙漠的桥梁。沙山沟两侧是高50m以上的沙山，上覆沙层厚度仅有0.5~10m,沙山沟特大高架桥铁路穿行于沟谷之中,但风沙对其影响较小。下图示意敦格铁路穿行在沙山景观图及经过的局部区域图，该区域春夏季盛行偏北风，秋冬季盛行偏南风，且偏角较小。</w:t>
      </w:r>
    </w:p>
    <w:p>
      <w:pPr>
        <w:spacing w:line="360" w:lineRule="auto"/>
        <w:jc w:val="center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0" distR="0">
            <wp:extent cx="3724275" cy="2076450"/>
            <wp:effectExtent l="0" t="0" r="9525" b="0"/>
            <wp:docPr id="1970146485" name="图片 197014648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46485" name="图片 1970146485" descr="figure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</w:rPr>
        <w:drawing>
          <wp:inline distT="0" distB="0" distL="0" distR="0">
            <wp:extent cx="4694555" cy="2722880"/>
            <wp:effectExtent l="0" t="0" r="10795" b="1270"/>
            <wp:docPr id="443910544" name="图片 44391054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10544" name="图片 443910544" descr="figur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5141" cy="274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（1）结合图示区域环境简述敦格铁路采取“以桥代路”的原因。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6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（2）分析沙山沟内的风沙对高架桥铁路影响较小的原因。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6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</w:p>
    <w:p>
      <w:pPr>
        <w:spacing w:line="360" w:lineRule="auto"/>
        <w:jc w:val="left"/>
        <w:textAlignment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（3）人们在图中修建了甲处防护体系，简述甲处修建防护体系的原因及对敦格铁路的有利影响。</w:t>
      </w:r>
      <w:r>
        <w:rPr>
          <w:rFonts w:hint="eastAsia" w:ascii="Times New Roman" w:hAnsi="Times New Roman" w:eastAsia="宋体" w:cs="Times New Roman"/>
        </w:rPr>
        <w:t>（</w:t>
      </w:r>
      <w:r>
        <w:rPr>
          <w:rFonts w:ascii="Times New Roman" w:hAnsi="Times New Roman" w:eastAsia="宋体" w:cs="Times New Roman"/>
        </w:rPr>
        <w:t>6</w:t>
      </w:r>
      <w:r>
        <w:rPr>
          <w:rFonts w:hint="eastAsia" w:ascii="Times New Roman" w:hAnsi="Times New Roman" w:eastAsia="宋体" w:cs="Times New Roman"/>
        </w:rPr>
        <w:t>分）</w:t>
      </w:r>
    </w:p>
    <w:p>
      <w:pPr>
        <w:spacing w:line="360" w:lineRule="auto"/>
        <w:rPr>
          <w:rFonts w:ascii="Times New Roman" w:hAnsi="Times New Roman" w:cs="Times New Roman"/>
          <w:b/>
        </w:rPr>
      </w:pPr>
    </w:p>
    <w:p>
      <w:pPr>
        <w:spacing w:line="360" w:lineRule="auto"/>
        <w:rPr>
          <w:rFonts w:ascii="Times New Roman" w:hAnsi="Times New Roman" w:cs="Times New Roman"/>
          <w:b/>
        </w:rPr>
      </w:pPr>
    </w:p>
    <w:p>
      <w:pPr>
        <w:spacing w:line="360" w:lineRule="auto"/>
        <w:rPr>
          <w:rFonts w:ascii="Times New Roman" w:hAnsi="Times New Roman" w:cs="Times New Roman"/>
          <w:b/>
        </w:rPr>
      </w:pP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参考答案</w:t>
      </w:r>
      <w:bookmarkStart w:id="0" w:name="_GoBack"/>
      <w:bookmarkEnd w:id="0"/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1．D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2．B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3．A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4．C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5．D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6．D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7．A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8．D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9．B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10．B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11．B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12．C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13．B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14．C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15．B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16．A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17．D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18．B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19．C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20．A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21．B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22．C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3．C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24．（1）科技高速发展；劳动力素质提高；航空业的迅速发展；城市环保标准提高；市场需求变化，国家政策。（任3点，6分）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体现了景观观赏要注重“时间”和“空间”的欣赏方法；保护好景点基础上，合理开发和利用；控制游客数量，游客必须佩戴口罩，游客之间要保持一米距离；结合武汉抗疫英勇事迹，充分利用网络平台加大对武汉旅游的宣传；加大对旅游景点的监管，确保景点的安全和卫生。（任3点，6分）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3）来源：城市建设、建筑拆迁等均可产生大量建筑垃圾；城市道路上的建筑垃圾是建筑垃圾在运输过程中散落的。冶理措施：进行分类回收再利用；推广利用建筑新技术、新工艺、新材料，减少建筑垃圾产生；改进运输工具，实行封闭式运输。（来源2点2分，措施任2点，4分）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25．（1）林线高低与气温成正比，内部山地的山体效应强，气温更高；因此，边缘山地林线低，内部山地林线高。（3分）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（2）地面是大气主要的直接热源；太阳辐射仅有一小部分为大气所吸收，大部分为地面所吸收；地面增温后以长波辐射的形式反馈给大气，使山体内部的气温显著上升。（3分）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3）青藏高原的海拔（基面高度）更高，空气更稀薄，到达地面的太阳辐射更多；青藏高原的体积和面积更大，山体的增温现象更显著；青藏高原整体纬度较低，全年接收的太阳辐射较多；阿尔卑斯山脉位于西欧沿海地区，受西风带影响，空气湿度较大，增温幅度较小。（4点，8分）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（4）林线的高低除了受到气温（热量）的影响之外，还有降水；藏东南部位于夏季风迎风坡，水热条件充足，故出现最高林线。（2分）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26．（1）减少活动性沙漠对路基影响;加强路线平整度;充分利用立体空间,节约了地面土地资源;减少沙山起伏对铁路影响,增加路线笔直度（提高运行速度与安全）。（任3点，6分）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（2）沙层厚度较小,且沙源少;盛行风向与铁路走向大致相同,利于疏导风沙;受沟谷"狭管效应",风力强劲,沙子不易沉积在铁轨上;采取高架桥形式,减少风沙掩埋危险。（任3点，6分）</w:t>
      </w:r>
    </w:p>
    <w:p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（3）甲处为沙漠区,地势平坦,沙源充足,春夏季盛行偏北风,受"狭管效应"影响,铁路易受风沙危害;防护体系即保护了穿越沙山桥梁路基及沿线基础设施,也提高了列车运行安全。（6分）</w:t>
      </w:r>
    </w:p>
    <w:p>
      <w:pPr>
        <w:spacing w:line="360" w:lineRule="auto"/>
      </w:pPr>
    </w:p>
    <w:p>
      <w:pPr>
        <w:spacing w:line="360" w:lineRule="auto"/>
      </w:pPr>
    </w:p>
    <w:sectPr>
      <w:footerReference r:id="rId3" w:type="default"/>
      <w:pgSz w:w="11906" w:h="16838"/>
      <w:pgMar w:top="1440" w:right="1418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45490999"/>
    </w:sdtPr>
    <w:sdtEndPr>
      <w:rPr>
        <w:rFonts w:ascii="Times New Roman" w:hAnsi="Times New Roman" w:cs="Times New Roman"/>
      </w:rPr>
    </w:sdtEndPr>
    <w:sdtContent>
      <w:p>
        <w:pPr>
          <w:pStyle w:val="2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B66266"/>
    <w:rsid w:val="24250DF3"/>
    <w:rsid w:val="3FB662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image5.wdp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microsoft.com/office/2007/relationships/hdphoto" Target="media/image2.wdp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microsoft.com/office/2007/relationships/hdphoto" Target="media/image21.wdp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microsoft.com/office/2007/relationships/hdphoto" Target="media/image18.wdp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microsoft.com/office/2007/relationships/hdphoto" Target="media/image14.wdp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microsoft.com/office/2007/relationships/hdphoto" Target="media/image11.wdp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microsoft.com/office/2007/relationships/hdphoto" Target="media/image8.wdp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2021-03-14T01:39:00Z</dcterms:created>
  <dc:creator>Administrator</dc:creator>
  <cp:lastModifiedBy>Administrator</cp:lastModifiedBy>
  <dcterms:modified xsi:type="dcterms:W3CDTF">2021-03-17T06:36:48Z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