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江淮名校</w:t>
      </w:r>
      <w:r>
        <w:rPr>
          <w:rFonts w:ascii="Times New Roman" w:hAnsi="Times New Roman" w:eastAsia="宋体" w:cs="Times New Roman"/>
          <w:b/>
          <w:sz w:val="32"/>
          <w:szCs w:val="32"/>
          <w:lang w:eastAsia="zh-CN"/>
        </w:rPr>
        <w:t>·2020~2021</w:t>
      </w: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学年高二年级下学期开学联考</w:t>
      </w:r>
    </w:p>
    <w:p>
      <w:pPr>
        <w:pStyle w:val="2"/>
        <w:jc w:val="center"/>
        <w:rPr>
          <w:rFonts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ascii="Times New Roman" w:hAnsi="宋体" w:eastAsia="宋体" w:cs="Times New Roman"/>
          <w:b/>
          <w:sz w:val="32"/>
          <w:szCs w:val="32"/>
          <w:lang w:eastAsia="zh-CN"/>
        </w:rPr>
        <w:t>地理试卷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考生注意：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本试卷分选择题和非选择题两部分。满分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分，考试时间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答题前，考生务必用直径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毫米黑色墨水签字笔将密封线内项目填写清楚。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考生作答时，请将答案答在答题卡上。选择题每小题选出答案后，用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铅笔把答题卡上对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应题目的答案标号涂黑；非选择题请用直径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毫米黑色墨水签字笔在答题卡上各题的答题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区域内作答，超出答题区域书写的答案无效，在试题卷、草稿纸上作答无效。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本卷命题范围：地球地图十人教版必修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一、选择题：本大题共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分。在每小题给出的四个选项中，只有一个选项是符合题目要求的。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读经纬网图，完成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1~2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714625" cy="762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根据经纬度判断，图中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点应位于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宋体" w:eastAsia="宋体" w:cs="Times New Roman"/>
          <w:sz w:val="21"/>
          <w:szCs w:val="21"/>
        </w:rPr>
        <w:t>太平洋</w:t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宋体" w:eastAsia="宋体" w:cs="Times New Roman"/>
          <w:sz w:val="21"/>
          <w:szCs w:val="21"/>
        </w:rPr>
        <w:t>大西洋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宋体" w:eastAsia="宋体" w:cs="Times New Roman"/>
          <w:sz w:val="21"/>
          <w:szCs w:val="21"/>
        </w:rPr>
        <w:t>印度洋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北冰洋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点位于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正东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正西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西北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东北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读某地区等高线地形图（单位：米），完成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3~5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990850" cy="1638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图示地区的相对高度不低于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A.500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B.600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C.700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D.800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位于甲地附近的某学校组织学生沿图示虚线进行郊游活动，行进过程中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在乙地感受飞流直下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在丙地欣赏峡谷风光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在丁地远眺学校美景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方向为由西北向东南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该地拟建一水库，最佳的坝址为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乙处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丙处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丁处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戊处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读我国生态文化区分布示意图，完成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6~7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686050" cy="18859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我国不同的生态文化区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内部特征基本一致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相互之间无联系性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相互之间差异较小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属于不同层级区域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造成江南水乡文化与华北平原文化出现差异的主要影响因素是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人口分布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气候条件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地形地势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经济水平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地理环境对区域发展会产生深刻的影响。长江三角洲和松嫩平原都位于我国东部季风区，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但地理环境却存在显著的差异，两地的发展也有明显不同。据此结合所学知识，完成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8~9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下列关长江三角洲和松嫩平原的说法，正确的是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长江三角洲雨热同期，大陆性稍弱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松嫩平原夏季高温多雨，生长期长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长江三角洲人口稠密，顶坡度小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松嫩平原黑土分布广泛，河网密布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在农业生产方面，长江三角洲和松嫩平原最可能都遭遇的自然灾害是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台风灾害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泥石流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旱涝灾害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沙尘暴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世纪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年代，巴西人口迅速增长，特别是东南部人口密度增大，人地矛盾加剧。随着人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口的增加，雨林面积急剧减少。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世纪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年代后期，巴西政府及各国际组织开始致力于保护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雨林免遭人们侵占、开辟和毁坏。世界自然基金会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日发布的调查分析显示，全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多个国家的热带雨林在今年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月份新冠疫情期间遭到严重破坏，面积共计缩减约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6500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平方千米，比前三年同期平均缩减面积增加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150%.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10~11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在历史上，亚马孙热带雨林的乱砍滥伐现象一度非常严重。其主要原因是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气象与地质灾害频繁发生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大规模的城市建设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人口迅速增加，生活贫困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工业化的快速推进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巴西政府及各国际组织致力于保护热带雨林免遭人们侵占、开辟和毁坏，下列措施最为可行的是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严禁砍伐雨林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增加木材出口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禁止出入雨林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发展雨林观光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某环境监测小组对我国某流域进行了持续监测。该流域以山地、丘陵为主，土地利用以耕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地、林地和草地为主（占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95%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以上），流域内所有的地表径流最终都会流入下游某一水库中。为了保护流域生态系统的服务功能，该流域实行了一系列管理措施。右图为该流域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2000~2019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年不同年份主要土地利用类型的面积变化示意图。据此完成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12~14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809750" cy="15716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该流域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2010~2019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年草地面积大幅缩减最可能是因为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修筑梯田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过度放牧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植树造林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城市建设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推测该流域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2000~2019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年泥沙输出量的总体变化特点是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先增加后减少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一直减少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先减少后增加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一直增加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对该流域进行持续监测的地理信息技术，还可以用于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珠峰高度的测量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城市规划和管理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最佳路径的选择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农作物产量估测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下表为我国某省城市化进程统计表。据此完成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15~16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114800" cy="19240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15.1953~1990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年，该省城市化进程较慢的主要原因是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人口增长较慢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矿产资源贫乏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户籍制度严格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自然环境脆弱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年来，该省区南部城市化飞速发展的主要动力是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大城市扩散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小商品经营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矿产开采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对外开放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古巴矿产能源极其匮乏，近年来，该国大力推进新能源项目。由我国提供电气设备并负责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建造的古巴某生物质发电厂位于距首都哈瓦那约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445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千米的中部小镇西罗雷东多，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1~5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糖季利用糖厂的甘蔗渣发电，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6~12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月利用野生疯长的灌木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麻拉布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（原产地：非洲）继续发电。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据此结合古巴地理位置示意图，完成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17~19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695700" cy="14382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8 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生物质发电厂与制糖厂合作可以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降低甘蔗种植的成本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节省原料运输费用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加强技术交流与协作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减少制糖厂用电量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与风能、太阳能发电相比，生物质发电的主要优势是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清洁可再生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节能减排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发电量稳定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运营成本低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该生物质发电厂使用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麻拉布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发电的生态优势是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降低发电的成本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扩大耕地面积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促进就业多元化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防治生物入侵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新疆维吾尔自治区伽师县的城乡饮水安全工程从距离县城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多千米外的盖孜河（如右图所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示）取水，再通过总长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1827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千米的干支管线，将水源源不断地输入伽师县千家万户。该饮水安全工程全面通水后，伽师县所有人口将彻底告别苦咸水，全面实现饮水安全。据此完成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20~21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581275" cy="15049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伽师县曾通过打井解决群众饮水问题，但地下水中硫酸盐、氟化物等含量超标，其主要的影响因素有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水体更新速度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人为污染</w:t>
      </w:r>
      <w:r>
        <w:rPr>
          <w:rFonts w:ascii="宋体" w:hAnsi="宋体" w:eastAsia="宋体" w:cs="Times New Roman"/>
          <w:sz w:val="21"/>
          <w:szCs w:val="21"/>
          <w:lang w:eastAsia="zh-CN"/>
        </w:rPr>
        <w:t>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地下岩石性质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eastAsia="zh-CN"/>
        </w:rPr>
        <w:t>④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取水井口直径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宋体" w:hAnsi="宋体" w:eastAsia="宋体" w:cs="Times New Roman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宋体" w:hAnsi="宋体" w:eastAsia="宋体" w:cs="Times New Roman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宋体" w:hAnsi="宋体" w:eastAsia="宋体" w:cs="Times New Roman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宋体" w:hAnsi="宋体" w:eastAsia="宋体" w:cs="Times New Roman"/>
          <w:sz w:val="21"/>
          <w:szCs w:val="21"/>
          <w:lang w:eastAsia="zh-CN"/>
        </w:rPr>
        <w:t>②④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伽师县城乡饮水安全工程以盖孜河为水源地的主要原因是该河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水质好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距伽师近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流量较大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流量稳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半导体产业在美国形成规模以来，总共经历了三次大规模的产业转移。随着半导体产业不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断地发展与升级，第二次产业转移时，美国逐步把设计与制造进行分离，将生产线外搬，采用委外代工的模式。进入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年后，我国正扮演第三次半导体产业转移承接者的角色。下图为全球半导体产业转移示意图。据此完成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22~23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933825" cy="8001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第二次产业转移时，美国逐步把设计与制造进行分离，将生产线外搬，采用委外代工的模式。其主要原因是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原料价格不断上涨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美国劳动力短缺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国内消费市场饱和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制造环节利润低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我国成为第三次半导体产业转移的承接者，主要是因为我国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常规能源丰富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市场广阔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基础设施完善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交通便利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科罗拉多河发源于美国西部的落基山脉，山脉两侧山地海拔都在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4000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米以上，向西南流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经美国和墨西哥西北端，注入加利福尼亚湾。该河流是美国进行水资源综合利用与开发的第一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个流域，从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世纪初开始，美国就在这条河上建坝修库。但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1988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年以后，科罗拉多河几乎再也没能成功注入大海。下图为科罗拉多河流域示意图。据此完成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24~25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371725" cy="19526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流域大规模开发后，科罗拉多河河口三角洲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入海口泥沙增加，面积变大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海浪侵蚀作用减弱，面积变大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入海口泥沙减少，面积变小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海浪搬运作用增强，面积变小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25.1988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年以后，科罗拉多河几乎再也没能成功注人大海的原因不包括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人口增长，沿岸的用水量增加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全球变暖，河流下渗增加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过度开采地下水，地表水减少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大坝拦蓄，下游流量减少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二、非选择题：共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阅读图文材料，完成下列问题。（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下图为我国江南丘陵某区域等高线及聚落分布示意图，为了方便山区居民出行，政府欲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建一条起点在丁处并沿凉水河南岸延伸的高速公路。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609975" cy="17811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指出图中聚落的分布特点及原因。（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分析甲、乙两村之间的公路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乙村路段非常弯曲的原因。（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说明该高速公路布局方案的合理性。（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阅读图文材料，完成下列问题。（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湖南省地势呈三面环山、朝北开口的马蹄形，湘江是该省区最大河流，水能资源丰富。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该省西部位于云贵高原边缘，生活于此地的少数民族在坡地上用木柱撑起分上下两层或多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层的吊脚楼，吊脚楼的上层多为居室，下层用来关牲口或堆放杂物，屋顶坡度较大。下图为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湖南省简图及吊脚楼景观图。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952875" cy="173355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甲地降水量较乙地大，说明原因。（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简述湘江水能资源丰富的原因。（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分析湖南省西部少数民族建吊脚楼做民居的地理原因。（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阅读图文材料，完成下列问题。（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敦煌西湖国家级自然保护区地处河西走廊西端、库姆塔格大沙漠东沿，与罗布泊相邻，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是一个极为典型的内陆湿地自然保护区。区内分布有大面积的原始天然植被和湿地及丰富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的珍稀野生动物。最新研究结果显示，库姆塔格沙漠正以每年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3~4m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的速度不断东移，敦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煌西湖自然保护区成为阻挡库姆塔格大沙漠东扩的强有力生态屏障。近年来，西湖自然保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护区生态环境持续恶化。下图为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1980~2013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年西湖保护区湿地演化过程示意图。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781425" cy="1714500"/>
            <wp:effectExtent l="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指出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1980~2013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年西湖湿地的演变特征。（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说明影响西湖湿地演变的主要因素。（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推测西湖湿地退化产生的不利影响。（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阅读图文材料，完成下列问题。（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磷矿石是磷肥及硫酸盐的原料，是一种不可再生资源。我国磷矿石资源丰富，已探明储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量仅次于摩洛哥，居世界第二位。我国磷矿石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44%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依靠小矿山获取，矿石品位低，小型矿山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平均的开采回采率仅为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76%,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部分矿山的回采率仅为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30%,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大量的磷矿资源无法得到有效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利用。随着我国农业化肥使用量的不断增加，我国磷矿资源出现危机。下图为我国主要磷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矿基地分布示意图。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952750" cy="210502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简述我国磷矿开采的不利条件。（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有专家提出，我国应限制磷矿石出口，请推测提出该观点的理由。（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请为我国磷矿石和磷肥产业的可持续发展献计献策。（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bookmarkStart w:id="0" w:name="_GoBack"/>
      <w:bookmarkEnd w:id="0"/>
    </w:p>
    <w:p>
      <w:pPr>
        <w:pStyle w:val="2"/>
        <w:jc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江淮名校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·2020~2021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学年高二年级下学期开学联考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地理试卷</w:t>
      </w:r>
    </w:p>
    <w:p>
      <w:pPr>
        <w:pStyle w:val="2"/>
        <w:jc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参考答案、提示及评分细则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1.A 2.D 3.B 4.B 5.D 6.A 7.B 8.A 9.C 10.C 11.D 12.C 13.B 14.D 15.C 16.A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17.B 18.C 19.D 20.A 21.A 22.D 23.B 24.C 25.B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26.(1)</w:t>
      </w:r>
      <w:r>
        <w:rPr>
          <w:rFonts w:ascii="Times New Roman" w:hAnsi="宋体" w:eastAsia="宋体" w:cs="Times New Roman"/>
          <w:sz w:val="21"/>
          <w:szCs w:val="21"/>
        </w:rPr>
        <w:t>特点：沿河流分布。（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分）原因：地形平坦；水源充足；交通便利等。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2)R-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乙村路段经过的地区地形坡度大，山谷、山脊相间分布，为减小公路坡度，减少安全隐患，公路大致与等高线平行呈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字形修建。（合理即可，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高速公路沿河流谷地分布，地形平坦，线路平直，工程量小；南岸河流支流较少，聚落较少，可节省建设投资等。（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27.(1)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纬度较低，距东南季风源地近；地势较高，地形对水汽的抬升作用较强，多地形雨等。（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降水多，河流流量大；地势起伏大，落差大等。（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地形崎岖，平地少；分上下两层或多层，节约土地，且造价较廉；雨水多，上层做居室有利于通风、防霉；屋顶斜度大，有利于排水等。（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28.(1)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湿地质心向西南移动；湿地面积呈减少趋势；湿地破碎，斑块化加剧等。（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全球气候变暖；人类活动等。（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植被退化；荒漠化加剧；生物多样性减少；气候变得更加干旱等。（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29.(1)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分布不均，生产规模小；主要位于西南地区，交通不便；磷矿石品位低；生产设备简陋，技术水平低；磷矿石资源浪费严重等。（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磷矿石属于不可再生资源；我国是农业大国，磷肥需求量大；保证我国农业用肥，保障粮食安全等。（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因地制宜地扩大生产规模，提高专业化水平；发展磷矿石深加工，延长产业链，提高附加值；注意保护环境；提高利用率；开展新型肥料研发，促进产业结构多元化等。（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26367"/>
    <w:rsid w:val="02C26367"/>
    <w:rsid w:val="58C35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2021-03-03T09:34:00Z</dcterms:created>
  <dc:creator>Administrator</dc:creator>
  <cp:lastModifiedBy>Administrator</cp:lastModifiedBy>
  <dcterms:modified xsi:type="dcterms:W3CDTF">2021-03-18T06:06:57Z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