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spacing w:beforeAutospacing="0" w:afterAutospacing="0" w:line="360" w:lineRule="auto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bookmarkStart w:id="0" w:name="bookmark3"/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  <w:t>2020学年第二学期高中发展共同体第一次联合测试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wordWrap/>
        <w:autoSpaceDE w:val="0"/>
        <w:autoSpaceDN w:val="0"/>
        <w:adjustRightInd w:val="0"/>
        <w:snapToGrid w:val="0"/>
        <w:spacing w:before="156" w:beforeLines="50" w:beforeAutospacing="0" w:afterAutospacing="0" w:line="360" w:lineRule="auto"/>
        <w:ind w:left="455" w:hanging="140"/>
        <w:jc w:val="center"/>
        <w:rPr>
          <w:rFonts w:eastAsia="黑体"/>
          <w:bCs/>
          <w:color w:val="000000" w:themeColor="text1"/>
          <w:sz w:val="28"/>
          <w:szCs w:val="28"/>
        </w:rPr>
      </w:pPr>
      <w:r>
        <w:rPr>
          <w:rFonts w:eastAsia="黑体"/>
          <w:bCs/>
          <w:color w:val="000000" w:themeColor="text1"/>
          <w:sz w:val="28"/>
          <w:szCs w:val="28"/>
          <w:lang w:val="zh-CN"/>
        </w:rPr>
        <w:t>高</w:t>
      </w:r>
      <w:r>
        <w:rPr>
          <w:rFonts w:hint="eastAsia" w:eastAsia="黑体"/>
          <w:bCs/>
          <w:color w:val="000000" w:themeColor="text1"/>
          <w:sz w:val="28"/>
          <w:szCs w:val="28"/>
          <w:lang w:val="zh-CN"/>
        </w:rPr>
        <w:t>二</w:t>
      </w:r>
      <w:r>
        <w:rPr>
          <w:rFonts w:eastAsia="黑体"/>
          <w:bCs/>
          <w:color w:val="000000" w:themeColor="text1"/>
          <w:sz w:val="28"/>
          <w:szCs w:val="28"/>
          <w:lang w:val="zh-CN"/>
        </w:rPr>
        <w:t>思想政治试题卷（</w:t>
      </w:r>
      <w:r>
        <w:rPr>
          <w:rFonts w:eastAsia="黑体"/>
          <w:bCs/>
          <w:color w:val="000000" w:themeColor="text1"/>
          <w:sz w:val="28"/>
          <w:szCs w:val="28"/>
        </w:rPr>
        <w:t>20</w:t>
      </w:r>
      <w:r>
        <w:rPr>
          <w:rFonts w:hint="eastAsia" w:eastAsia="黑体"/>
          <w:bCs/>
          <w:color w:val="000000" w:themeColor="text1"/>
          <w:sz w:val="28"/>
          <w:szCs w:val="28"/>
        </w:rPr>
        <w:t>21</w:t>
      </w:r>
      <w:r>
        <w:rPr>
          <w:rFonts w:eastAsia="黑体"/>
          <w:bCs/>
          <w:color w:val="000000" w:themeColor="text1"/>
          <w:sz w:val="28"/>
          <w:szCs w:val="28"/>
        </w:rPr>
        <w:t>.</w:t>
      </w:r>
      <w:r>
        <w:rPr>
          <w:rFonts w:hint="eastAsia" w:eastAsia="黑体"/>
          <w:bCs/>
          <w:color w:val="000000" w:themeColor="text1"/>
          <w:sz w:val="28"/>
          <w:szCs w:val="28"/>
        </w:rPr>
        <w:t>0</w:t>
      </w:r>
      <w:r>
        <w:rPr>
          <w:rFonts w:eastAsia="黑体"/>
          <w:bCs/>
          <w:color w:val="000000" w:themeColor="text1"/>
          <w:sz w:val="28"/>
          <w:szCs w:val="28"/>
        </w:rPr>
        <w:t>2</w:t>
      </w:r>
      <w:r>
        <w:rPr>
          <w:rFonts w:eastAsia="黑体"/>
          <w:bCs/>
          <w:color w:val="000000" w:themeColor="text1"/>
          <w:sz w:val="28"/>
          <w:szCs w:val="28"/>
          <w:lang w:val="zh-CN"/>
        </w:rPr>
        <w:t>）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考生须知：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1</w:t>
      </w:r>
      <w:r>
        <w:rPr>
          <w:rFonts w:hint="eastAsia" w:ascii="宋体" w:hAnsi="宋体" w:eastAsia="宋体" w:cs="宋体"/>
          <w:color w:val="000000"/>
          <w:szCs w:val="21"/>
        </w:rPr>
        <w:t>．本卷共</w:t>
      </w:r>
      <w:r>
        <w:rPr>
          <w:rFonts w:ascii="Times New Roman" w:hAnsi="Times New Roman" w:eastAsia="宋体" w:cs="宋体"/>
          <w:color w:val="000000"/>
          <w:szCs w:val="21"/>
        </w:rPr>
        <w:t>6</w:t>
      </w:r>
      <w:r>
        <w:rPr>
          <w:rFonts w:hint="eastAsia" w:ascii="宋体" w:hAnsi="宋体" w:eastAsia="宋体" w:cs="宋体"/>
          <w:color w:val="000000"/>
          <w:szCs w:val="21"/>
        </w:rPr>
        <w:t>页满分</w:t>
      </w:r>
      <w:r>
        <w:rPr>
          <w:rFonts w:hint="eastAsia" w:ascii="Times New Roman" w:hAnsi="Times New Roman" w:eastAsia="宋体" w:cs="宋体"/>
          <w:color w:val="000000"/>
          <w:szCs w:val="21"/>
        </w:rPr>
        <w:t>100</w:t>
      </w:r>
      <w:r>
        <w:rPr>
          <w:rFonts w:hint="eastAsia" w:ascii="宋体" w:hAnsi="宋体" w:eastAsia="宋体" w:cs="宋体"/>
          <w:color w:val="000000"/>
          <w:szCs w:val="21"/>
        </w:rPr>
        <w:t>分，考试时间</w:t>
      </w:r>
      <w:r>
        <w:rPr>
          <w:rFonts w:hint="eastAsia" w:ascii="Times New Roman" w:hAnsi="Times New Roman" w:eastAsia="宋体" w:cs="宋体"/>
          <w:color w:val="000000"/>
          <w:szCs w:val="21"/>
        </w:rPr>
        <w:t>90</w:t>
      </w:r>
      <w:r>
        <w:rPr>
          <w:rFonts w:hint="eastAsia" w:ascii="宋体" w:hAnsi="宋体" w:eastAsia="宋体" w:cs="宋体"/>
          <w:color w:val="000000"/>
          <w:szCs w:val="21"/>
        </w:rPr>
        <w:t>分钟；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2</w:t>
      </w:r>
      <w:r>
        <w:rPr>
          <w:rFonts w:hint="eastAsia" w:ascii="宋体" w:hAnsi="宋体" w:eastAsia="宋体" w:cs="宋体"/>
          <w:color w:val="000000"/>
          <w:szCs w:val="21"/>
        </w:rPr>
        <w:t>．答题前，在答题卷指定区域填写班级、姓名、考场号、座位号及准考证号并填涂相应数字；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3</w:t>
      </w:r>
      <w:r>
        <w:rPr>
          <w:rFonts w:hint="eastAsia" w:ascii="宋体" w:hAnsi="宋体" w:eastAsia="宋体" w:cs="宋体"/>
          <w:color w:val="000000"/>
          <w:szCs w:val="21"/>
        </w:rPr>
        <w:t>．所有答案必须写在答题纸上，写在试卷上无效；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4</w:t>
      </w:r>
      <w:r>
        <w:rPr>
          <w:rFonts w:hint="eastAsia" w:ascii="宋体" w:hAnsi="宋体" w:eastAsia="宋体" w:cs="宋体"/>
          <w:color w:val="000000"/>
          <w:szCs w:val="21"/>
        </w:rPr>
        <w:t>．考试结束后，只需上交答题纸；</w:t>
      </w:r>
    </w:p>
    <w:p>
      <w:pPr>
        <w:wordWrap/>
        <w:spacing w:beforeAutospacing="0" w:afterAutospacing="0" w:line="360" w:lineRule="auto"/>
        <w:ind w:left="560" w:hanging="562" w:hangingChars="200"/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选择题部分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b/>
          <w:bCs/>
          <w:color w:val="000000" w:themeColor="text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一</w:t>
      </w:r>
      <w:bookmarkEnd w:id="0"/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、判断题（本大题共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Cs w:val="21"/>
        </w:rPr>
        <w:t>10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小题,每小题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Cs w:val="21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分，共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Cs w:val="21"/>
        </w:rPr>
        <w:t>10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分。判断下列说法是否正确，正确的请将答题纸相应题号后的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Cs w:val="21"/>
        </w:rPr>
        <w:t>T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涂黑，错误的请将答题纸相应题号后的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Cs w:val="21"/>
        </w:rPr>
        <w:t>F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涂黑）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1.电影</w:t>
      </w:r>
      <w:r>
        <w:rPr>
          <w:rFonts w:ascii="宋体" w:hAnsi="宋体" w:eastAsia="宋体" w:cs="宋体"/>
          <w:color w:val="000000" w:themeColor="text1"/>
          <w:szCs w:val="21"/>
          <w:shd w:val="clear" w:color="auto" w:fill="FFFFFF"/>
        </w:rPr>
        <w:t>《唐人街探案3》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的票价为65元,这个时候执行价值尺度职能的货币是实实在在的货币。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.我国在疫情防控战中发挥集中人力、物力、财力办大事的优势，体现了社会主义制度的优越性。</w:t>
      </w:r>
    </w:p>
    <w:p>
      <w:pPr>
        <w:wordWrap/>
        <w:spacing w:beforeAutospacing="0" w:afterAutospacing="0" w:line="360" w:lineRule="auto"/>
        <w:ind w:left="210" w:hanging="210" w:hangingChars="100"/>
        <w:rPr>
          <w:rFonts w:ascii="楷体" w:hAnsi="楷体" w:eastAsia="楷体" w:cs="楷体"/>
          <w:color w:val="000000" w:themeColor="text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</w:rPr>
        <w:t>.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我们坚持立足国内大循环，发挥比较优势，以国内大循环吸引全球资源要素，促进国内国际双循环。</w:t>
      </w:r>
    </w:p>
    <w:p>
      <w:pPr>
        <w:wordWrap/>
        <w:spacing w:beforeAutospacing="0" w:afterAutospacing="0" w:line="360" w:lineRule="auto"/>
        <w:rPr>
          <w:rFonts w:ascii="楷体" w:hAnsi="楷体" w:eastAsia="楷体" w:cs="楷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</w:rPr>
        <w:t>.各级政府应简化表格、减少各种评比活动，用求真务实的工作方法精准扶贫。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5</w:t>
      </w:r>
      <w:r>
        <w:rPr>
          <w:rFonts w:hint="eastAsia" w:ascii="宋体" w:hAnsi="宋体" w:eastAsia="宋体" w:cs="宋体"/>
          <w:color w:val="000000" w:themeColor="text1"/>
          <w:szCs w:val="21"/>
        </w:rPr>
        <w:t>.中俄两国加强合作表明两国以共同利益为出发点处理两国关系。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6</w:t>
      </w:r>
      <w:r>
        <w:rPr>
          <w:rFonts w:hint="eastAsia" w:ascii="宋体" w:hAnsi="宋体" w:eastAsia="宋体" w:cs="宋体"/>
          <w:color w:val="000000" w:themeColor="text1"/>
          <w:szCs w:val="21"/>
        </w:rPr>
        <w:t>.央视《新闻联播》入驻抖音，显示出大众传媒有传递、创造文化的强大功能。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7</w:t>
      </w:r>
      <w:r>
        <w:rPr>
          <w:rFonts w:hint="eastAsia" w:ascii="宋体" w:hAnsi="宋体" w:eastAsia="宋体" w:cs="宋体"/>
          <w:color w:val="000000" w:themeColor="text1"/>
          <w:szCs w:val="21"/>
        </w:rPr>
        <w:t>.“取其精华，去其糟粕”与“推陈出新，革故鼎新”是文化继承和发展必然要经历的过程。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8</w:t>
      </w:r>
      <w:r>
        <w:rPr>
          <w:rFonts w:hint="eastAsia" w:ascii="宋体" w:hAnsi="宋体" w:eastAsia="宋体" w:cs="宋体"/>
          <w:color w:val="000000" w:themeColor="text1"/>
          <w:szCs w:val="21"/>
        </w:rPr>
        <w:t>.物质的本性是广延，精神的本性是思想，二者彼此独立，互不相干。</w:t>
      </w:r>
    </w:p>
    <w:p>
      <w:pPr>
        <w:wordWrap/>
        <w:spacing w:beforeAutospacing="0" w:afterAutospacing="0" w:line="360" w:lineRule="auto"/>
        <w:rPr>
          <w:rFonts w:ascii="楷体" w:hAnsi="楷体" w:eastAsia="楷体" w:cs="楷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9</w:t>
      </w:r>
      <w:r>
        <w:rPr>
          <w:rFonts w:hint="eastAsia" w:ascii="宋体" w:hAnsi="宋体" w:eastAsia="宋体" w:cs="宋体"/>
          <w:color w:val="000000" w:themeColor="text1"/>
          <w:szCs w:val="21"/>
        </w:rPr>
        <w:t>.书本是人类进步的阶梯，但任何书本知识都不能“一眼望穿天下事，一书写尽天下理”。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bookmarkStart w:id="1" w:name="bookmark14"/>
      <w:r>
        <w:rPr>
          <w:rFonts w:hint="eastAsia" w:ascii="Times New Roman" w:hAnsi="Times New Roman" w:eastAsia="宋体" w:cs="宋体"/>
          <w:color w:val="000000" w:themeColor="text1"/>
          <w:szCs w:val="21"/>
        </w:rPr>
        <w:t>10</w:t>
      </w:r>
      <w:r>
        <w:rPr>
          <w:rFonts w:hint="eastAsia" w:ascii="宋体" w:hAnsi="宋体" w:eastAsia="宋体" w:cs="宋体"/>
          <w:color w:val="000000" w:themeColor="text1"/>
          <w:szCs w:val="21"/>
        </w:rPr>
        <w:t>.伟大出自平凡，英雄来自人民，发展中国特色社会主义，必须坚持人民主体地位。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b/>
          <w:bCs/>
          <w:color w:val="000000" w:themeColor="text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二</w:t>
      </w:r>
      <w:bookmarkEnd w:id="1"/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、选择题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Cs w:val="21"/>
        </w:rPr>
        <w:t>I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（本大题共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Cs w:val="21"/>
        </w:rPr>
        <w:t>22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小题，每小题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Cs w:val="21"/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分，共</w:t>
      </w:r>
      <w:r>
        <w:rPr>
          <w:rFonts w:ascii="Times New Roman" w:hAnsi="Times New Roman" w:eastAsia="宋体" w:cs="宋体"/>
          <w:b/>
          <w:bCs/>
          <w:color w:val="000000" w:themeColor="text1"/>
          <w:szCs w:val="21"/>
        </w:rPr>
        <w:t>4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Cs w:val="21"/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分，每小题列出的四个备选项中只有一个是符合题目要求的，不选、多选、错选均不得分）</w:t>
      </w:r>
    </w:p>
    <w:p>
      <w:pPr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11</w:t>
      </w:r>
      <w:r>
        <w:rPr>
          <w:rFonts w:hint="eastAsia" w:ascii="宋体" w:hAnsi="宋体" w:eastAsia="宋体" w:cs="宋体"/>
          <w:color w:val="000000" w:themeColor="text1"/>
          <w:szCs w:val="21"/>
        </w:rPr>
        <w:t>.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2020</w:t>
      </w:r>
      <w:r>
        <w:rPr>
          <w:rFonts w:hint="eastAsia" w:ascii="宋体" w:hAnsi="宋体" w:eastAsia="宋体" w:cs="宋体"/>
          <w:color w:val="000000" w:themeColor="text1"/>
          <w:szCs w:val="21"/>
        </w:rPr>
        <w:t>年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8</w:t>
      </w:r>
      <w:r>
        <w:rPr>
          <w:rFonts w:hint="eastAsia" w:ascii="宋体" w:hAnsi="宋体" w:eastAsia="宋体" w:cs="宋体"/>
          <w:color w:val="000000" w:themeColor="text1"/>
          <w:szCs w:val="21"/>
        </w:rPr>
        <w:t>月,国务院同意商务部提出的《全面深化服务贸易创新发展试点总体方案》，在京津冀、长三角、粤港澳大湾区及中西部具备条件的试点地区开展数字人民币试点。法定数字人民币的推出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①丰富了货币的职能，易实现商品价值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②能够减少现金使用，降低了交易成本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③创新了货币的形式，方便消费和结算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④减少了货币发行量，实现了稳定物价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.①②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.②③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.③④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12</w:t>
      </w:r>
      <w:r>
        <w:rPr>
          <w:rFonts w:hint="eastAsia" w:ascii="宋体" w:hAnsi="宋体" w:eastAsia="宋体" w:cs="宋体"/>
          <w:color w:val="000000" w:themeColor="text1"/>
          <w:szCs w:val="21"/>
        </w:rPr>
        <w:t>.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2020</w:t>
      </w:r>
      <w:r>
        <w:rPr>
          <w:rFonts w:hint="eastAsia" w:ascii="宋体" w:hAnsi="宋体" w:eastAsia="宋体" w:cs="宋体"/>
          <w:color w:val="000000" w:themeColor="text1"/>
          <w:szCs w:val="21"/>
        </w:rPr>
        <w:t>年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6</w:t>
      </w:r>
      <w:r>
        <w:rPr>
          <w:rFonts w:hint="eastAsia" w:ascii="宋体" w:hAnsi="宋体" w:eastAsia="宋体" w:cs="宋体"/>
          <w:color w:val="000000" w:themeColor="text1"/>
          <w:szCs w:val="21"/>
        </w:rPr>
        <w:t>月，国资委发布了《中央企业混合所有制改革操作指引》，明确中央企业所属各级子企业通过产权转让、增资扩股等方式，引入非公有资本、集体资本实施混合所有制改革。此举有利于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①增强国有企业活力，促进生产力的发展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②增强我国综合国力，提升国有资本比重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③各类资本优势互补，提高资源配置效率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④强化国企风险意识，巩固国企主体地位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.①②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．①③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．②④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．③④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13</w:t>
      </w:r>
      <w:r>
        <w:rPr>
          <w:rFonts w:hint="eastAsia" w:ascii="宋体" w:hAnsi="宋体" w:eastAsia="宋体" w:cs="宋体"/>
          <w:color w:val="000000" w:themeColor="text1"/>
          <w:szCs w:val="21"/>
        </w:rPr>
        <w:t>．冰天雪地也是金山银山。“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2022</w:t>
      </w:r>
      <w:r>
        <w:rPr>
          <w:rFonts w:hint="eastAsia" w:ascii="宋体" w:hAnsi="宋体" w:eastAsia="宋体" w:cs="宋体"/>
          <w:color w:val="000000" w:themeColor="text1"/>
          <w:szCs w:val="21"/>
        </w:rPr>
        <w:t>年冬奥会”在北京举行，将激发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</w:rPr>
        <w:t>亿多民众参与冰雪运动，帯来前所未有的发展机遇。为此企业要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.加强经营管理，保证经济利润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.强化竞争意识，提升自身技能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.坚持绿色发展，推动转型升级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.调整产业政策，增强竞争优势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14</w:t>
      </w:r>
      <w:r>
        <w:rPr>
          <w:rFonts w:hint="eastAsia" w:ascii="宋体" w:hAnsi="宋体" w:eastAsia="宋体" w:cs="宋体"/>
          <w:color w:val="000000" w:themeColor="text1"/>
          <w:szCs w:val="21"/>
        </w:rPr>
        <w:t>.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2020</w:t>
      </w:r>
      <w:r>
        <w:rPr>
          <w:rFonts w:hint="eastAsia" w:ascii="宋体" w:hAnsi="宋体" w:eastAsia="宋体" w:cs="宋体"/>
          <w:color w:val="000000" w:themeColor="text1"/>
          <w:szCs w:val="21"/>
        </w:rPr>
        <w:t>年为了减轻疫情对经济的不利影响，我国实施了更大规模的减税降费，上半年全国累计新增减税降费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11709</w:t>
      </w:r>
      <w:r>
        <w:rPr>
          <w:rFonts w:hint="eastAsia" w:ascii="宋体" w:hAnsi="宋体" w:eastAsia="宋体" w:cs="宋体"/>
          <w:color w:val="000000" w:themeColor="text1"/>
          <w:szCs w:val="21"/>
        </w:rPr>
        <w:t>亿元，其中减税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10387</w:t>
      </w:r>
      <w:r>
        <w:rPr>
          <w:rFonts w:hint="eastAsia" w:ascii="宋体" w:hAnsi="宋体" w:eastAsia="宋体" w:cs="宋体"/>
          <w:color w:val="000000" w:themeColor="text1"/>
          <w:szCs w:val="21"/>
        </w:rPr>
        <w:t>亿元。国家实施减税降费政策</w:t>
      </w:r>
      <w:r>
        <w:rPr>
          <w:rFonts w:hint="eastAsia" w:ascii="宋体" w:hAnsi="宋体" w:eastAsia="宋体" w:cs="宋体"/>
          <w:color w:val="000000" w:themeColor="text1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szCs w:val="21"/>
        </w:rPr>
        <w:t>①属于紧缩性财政政策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②有利于刺激社会总供给增长</w:t>
      </w:r>
      <w:r>
        <w:rPr>
          <w:rFonts w:hint="eastAsia" w:ascii="宋体" w:hAnsi="宋体" w:eastAsia="宋体" w:cs="宋体"/>
          <w:color w:val="000000" w:themeColor="text1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szCs w:val="21"/>
        </w:rPr>
        <w:t>③属于扩张性财政政策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④有利于刺激社会总需求增长</w:t>
      </w:r>
      <w:r>
        <w:rPr>
          <w:rFonts w:hint="eastAsia" w:ascii="宋体" w:hAnsi="宋体" w:eastAsia="宋体" w:cs="宋体"/>
          <w:color w:val="000000" w:themeColor="text1"/>
          <w:szCs w:val="21"/>
        </w:rPr>
        <w:br w:type="textWrapping"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 ①②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. ②③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. ③④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.①④</w:t>
      </w:r>
    </w:p>
    <w:p>
      <w:pPr>
        <w:wordWrap/>
        <w:spacing w:beforeAutospacing="0" w:afterAutospacing="0" w:line="360" w:lineRule="auto"/>
        <w:ind w:left="244" w:leftChars="16" w:hanging="210" w:hangingChars="10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15.</w:t>
      </w:r>
      <w:r>
        <w:rPr>
          <w:rFonts w:ascii="宋体" w:hAnsi="宋体" w:eastAsia="宋体" w:cs="宋体"/>
          <w:color w:val="000000" w:themeColor="text1"/>
          <w:szCs w:val="21"/>
        </w:rPr>
        <w:t>受新冠疫情影响，全球经济下滑，浙江经济</w:t>
      </w:r>
      <w:r>
        <w:rPr>
          <w:rFonts w:hint="eastAsia" w:ascii="宋体" w:hAnsi="宋体" w:eastAsia="宋体" w:cs="宋体"/>
          <w:color w:val="000000" w:themeColor="text1"/>
          <w:szCs w:val="21"/>
        </w:rPr>
        <w:t>负重</w:t>
      </w:r>
      <w:r>
        <w:rPr>
          <w:rFonts w:ascii="宋体" w:hAnsi="宋体" w:eastAsia="宋体" w:cs="宋体"/>
          <w:color w:val="000000" w:themeColor="text1"/>
          <w:szCs w:val="21"/>
        </w:rPr>
        <w:t>前行。下表为2020年上半年浙江省GDP、城乡居民人均可支配收入及消费支出的数据（不扣除价格因素）。</w:t>
      </w:r>
    </w:p>
    <w:tbl>
      <w:tblPr>
        <w:tblStyle w:val="9"/>
        <w:tblW w:w="0" w:type="auto"/>
        <w:tblInd w:w="2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317"/>
        <w:gridCol w:w="1518"/>
        <w:gridCol w:w="1560"/>
        <w:gridCol w:w="1287"/>
        <w:gridCol w:w="1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</w:p>
        </w:tc>
        <w:tc>
          <w:tcPr>
            <w:tcW w:w="1317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 w:val="30"/>
                <w:szCs w:val="30"/>
              </w:rPr>
              <w:t>GDP</w:t>
            </w:r>
          </w:p>
        </w:tc>
        <w:tc>
          <w:tcPr>
            <w:tcW w:w="1518" w:type="dxa"/>
          </w:tcPr>
          <w:p>
            <w:pPr>
              <w:wordWrap/>
              <w:spacing w:beforeAutospacing="0" w:afterAutospacing="0" w:line="360" w:lineRule="auto"/>
              <w:jc w:val="left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城镇居民人均可支配收入</w:t>
            </w:r>
          </w:p>
        </w:tc>
        <w:tc>
          <w:tcPr>
            <w:tcW w:w="1560" w:type="dxa"/>
          </w:tcPr>
          <w:p>
            <w:pPr>
              <w:wordWrap/>
              <w:spacing w:beforeAutospacing="0" w:afterAutospacing="0" w:line="360" w:lineRule="auto"/>
              <w:jc w:val="left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农村居民人均可支配收入</w:t>
            </w:r>
          </w:p>
        </w:tc>
        <w:tc>
          <w:tcPr>
            <w:tcW w:w="1287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城镇居民人均消费支出</w:t>
            </w:r>
          </w:p>
        </w:tc>
        <w:tc>
          <w:tcPr>
            <w:tcW w:w="1456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农村居民人均消费支出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数额</w:t>
            </w:r>
          </w:p>
        </w:tc>
        <w:tc>
          <w:tcPr>
            <w:tcW w:w="1317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29087亿元</w:t>
            </w:r>
          </w:p>
        </w:tc>
        <w:tc>
          <w:tcPr>
            <w:tcW w:w="1518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31865元</w:t>
            </w:r>
          </w:p>
        </w:tc>
        <w:tc>
          <w:tcPr>
            <w:tcW w:w="1560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17579元</w:t>
            </w:r>
          </w:p>
        </w:tc>
        <w:tc>
          <w:tcPr>
            <w:tcW w:w="1287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17053元</w:t>
            </w:r>
          </w:p>
        </w:tc>
        <w:tc>
          <w:tcPr>
            <w:tcW w:w="1456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11061元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与上年同期比</w:t>
            </w:r>
          </w:p>
        </w:tc>
        <w:tc>
          <w:tcPr>
            <w:tcW w:w="1317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0.5%</w:t>
            </w:r>
          </w:p>
        </w:tc>
        <w:tc>
          <w:tcPr>
            <w:tcW w:w="1518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2．1%</w:t>
            </w:r>
          </w:p>
        </w:tc>
        <w:tc>
          <w:tcPr>
            <w:tcW w:w="1560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3.2%</w:t>
            </w:r>
          </w:p>
        </w:tc>
        <w:tc>
          <w:tcPr>
            <w:tcW w:w="1287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—6.0%</w:t>
            </w:r>
          </w:p>
        </w:tc>
        <w:tc>
          <w:tcPr>
            <w:tcW w:w="1456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</w:pPr>
            <w:r>
              <w:rPr>
                <w:rFonts w:hint="eastAsia" w:ascii="华文新魏" w:hAnsi="宋体" w:eastAsia="华文新魏" w:cs="宋体"/>
                <w:color w:val="000000" w:themeColor="text1"/>
                <w:szCs w:val="21"/>
              </w:rPr>
              <w:t>—0.4%</w:t>
            </w:r>
          </w:p>
        </w:tc>
      </w:tr>
    </w:tbl>
    <w:p>
      <w:pPr>
        <w:wordWrap/>
        <w:spacing w:beforeAutospacing="0" w:afterAutospacing="0" w:line="360" w:lineRule="auto"/>
        <w:ind w:left="210" w:leftChars="10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从表中可以看出</w:t>
      </w:r>
    </w:p>
    <w:p>
      <w:pPr>
        <w:wordWrap/>
        <w:spacing w:beforeAutospacing="0" w:afterAutospacing="0" w:line="360" w:lineRule="auto"/>
        <w:ind w:left="210" w:leftChars="10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①城乡居民的收入差距有所缩小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 xml:space="preserve">    </w:t>
      </w:r>
      <w:r>
        <w:rPr>
          <w:rFonts w:ascii="宋体" w:hAnsi="宋体" w:eastAsia="宋体" w:cs="宋体"/>
          <w:color w:val="000000" w:themeColor="text1"/>
          <w:szCs w:val="21"/>
        </w:rPr>
        <w:t>②居民收入是消费的基础和前提</w:t>
      </w:r>
    </w:p>
    <w:p>
      <w:pPr>
        <w:wordWrap/>
        <w:spacing w:beforeAutospacing="0" w:afterAutospacing="0" w:line="360" w:lineRule="auto"/>
        <w:ind w:left="210" w:leftChars="10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③劳动报酬在初次分配中比重提高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④收入分配公平是提高效率的物质保证</w:t>
      </w:r>
    </w:p>
    <w:p>
      <w:pPr>
        <w:wordWrap/>
        <w:spacing w:beforeAutospacing="0" w:afterAutospacing="0"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A.①②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B.①④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C.②③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D.③④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16</w:t>
      </w:r>
      <w:r>
        <w:rPr>
          <w:rFonts w:hint="eastAsia" w:ascii="宋体" w:hAnsi="宋体" w:eastAsia="宋体" w:cs="宋体"/>
          <w:color w:val="000000" w:themeColor="text1"/>
          <w:szCs w:val="21"/>
        </w:rPr>
        <w:t>.下表为某年度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M</w:t>
      </w:r>
      <w:r>
        <w:rPr>
          <w:rFonts w:hint="eastAsia" w:ascii="宋体" w:hAnsi="宋体" w:eastAsia="宋体" w:cs="宋体"/>
          <w:color w:val="000000" w:themeColor="text1"/>
          <w:szCs w:val="21"/>
        </w:rPr>
        <w:t>省的出口增长情况。由表中数据可知，该省</w:t>
      </w:r>
    </w:p>
    <w:p>
      <w:pPr>
        <w:pStyle w:val="2"/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jc w:val="center"/>
        <w:rPr>
          <w:rFonts w:ascii="宋体" w:hAnsi="宋体" w:eastAsia="宋体"/>
          <w:color w:val="000000" w:themeColor="text1"/>
        </w:rPr>
      </w:pPr>
      <w:r>
        <w:rPr>
          <w:color w:val="000000" w:themeColor="text1"/>
        </w:rPr>
        <w:drawing>
          <wp:inline distT="0" distB="0" distL="0" distR="0">
            <wp:extent cx="4805680" cy="112903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8506" cy="117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①保持国际收支平衡，投资结构不断优化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②坚持市场多元化战略，充分利用国际市场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③坚持引进来和走出去并重，维护经济安全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④发展更高层次的开放型经济，出口结构不断优化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.②③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.②④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17</w:t>
      </w:r>
      <w:r>
        <w:rPr>
          <w:rFonts w:hint="eastAsia" w:ascii="宋体" w:hAnsi="宋体" w:eastAsia="宋体" w:cs="宋体"/>
          <w:color w:val="000000" w:themeColor="text1"/>
          <w:szCs w:val="21"/>
        </w:rPr>
        <w:t>.</w:t>
      </w:r>
      <w:r>
        <w:rPr>
          <w:rFonts w:hint="eastAsia" w:ascii="Times New Roman" w:hAnsi="Times New Roman" w:eastAsia="宋体" w:cs="宋体"/>
          <w:color w:val="000000" w:themeColor="text1"/>
          <w:spacing w:val="-2"/>
          <w:szCs w:val="21"/>
        </w:rPr>
        <w:t>2019</w:t>
      </w:r>
      <w:r>
        <w:rPr>
          <w:rFonts w:hint="eastAsia" w:ascii="宋体" w:hAnsi="宋体" w:eastAsia="宋体" w:cs="宋体"/>
          <w:color w:val="000000" w:themeColor="text1"/>
          <w:spacing w:val="-2"/>
          <w:szCs w:val="21"/>
        </w:rPr>
        <w:t>年中央一号文件《中共中央国务院关于坚持农业农村优先发展做好“三农”工作的若干意见》明确提出，全面推行村党组织书记、村委会主任“一肩挑”。实行“一肩挑”有利于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①巩固农村基层政权建设，提高办事效率</w:t>
      </w:r>
      <w:bookmarkStart w:id="2" w:name="_Hlk55223565"/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②</w:t>
      </w:r>
      <w:bookmarkEnd w:id="2"/>
      <w:r>
        <w:rPr>
          <w:rFonts w:hint="eastAsia" w:ascii="宋体" w:hAnsi="宋体" w:eastAsia="宋体" w:cs="宋体"/>
          <w:color w:val="000000" w:themeColor="text1"/>
          <w:szCs w:val="21"/>
        </w:rPr>
        <w:t>加强党的领导和推进村民自治有机结合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③扩大村委会主任的权力，更好服务村民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④提高基层治理现代化水平，助推乡村振兴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．②④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．①④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．①③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．②③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18</w:t>
      </w:r>
      <w:r>
        <w:rPr>
          <w:rFonts w:hint="eastAsia" w:ascii="宋体" w:hAnsi="宋体" w:eastAsia="宋体" w:cs="宋体"/>
          <w:color w:val="000000" w:themeColor="text1"/>
          <w:szCs w:val="21"/>
        </w:rPr>
        <w:t>.近年来，我国大力推进电子政务建设，全国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4300</w:t>
      </w:r>
      <w:r>
        <w:rPr>
          <w:rFonts w:hint="eastAsia" w:ascii="宋体" w:hAnsi="宋体" w:eastAsia="宋体" w:cs="宋体"/>
          <w:color w:val="000000" w:themeColor="text1"/>
          <w:szCs w:val="21"/>
        </w:rPr>
        <w:t>多个政务服务中心，通过大力推广“互联网＋政务服务”，创造了很多新的服务方式，极大地方便了企业、民众，也对改善营商环境做出了重要贡献。这表明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①现代信息技术助力行政效能提高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②增强决策透明度能更好反映民意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③政府切实践行对人民负责的原则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④简政放权会进一步优化营商环境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.②③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.②④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19</w:t>
      </w:r>
      <w:r>
        <w:rPr>
          <w:rFonts w:hint="eastAsia" w:ascii="宋体" w:hAnsi="宋体" w:eastAsia="宋体" w:cs="宋体"/>
          <w:color w:val="000000" w:themeColor="text1"/>
          <w:szCs w:val="21"/>
        </w:rPr>
        <w:t>.发展社会主义协商民主，要求党在制定重大决策时，一般先由中共中央提出建议，与各民主党派、全国政协进行充分协商，广泛征求社会团体、广大人民群众意见，再通过法定程序将党的主张上升为国家意志，以保证党的决策科学化民主化。由此可见，协商民主是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①人民政协进行民主监督的重要形式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②我国社会主义民主政治的特有形式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③有效制约和监督政府权力的关键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④实现中国共产党的领导的重要方式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．①②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．①③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．②④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．③④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20</w:t>
      </w:r>
      <w:r>
        <w:rPr>
          <w:rFonts w:hint="eastAsia" w:ascii="宋体" w:hAnsi="宋体" w:eastAsia="宋体" w:cs="宋体"/>
          <w:color w:val="000000" w:themeColor="text1"/>
          <w:szCs w:val="21"/>
        </w:rPr>
        <w:t>.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2020</w:t>
      </w:r>
      <w:r>
        <w:rPr>
          <w:rFonts w:hint="eastAsia" w:ascii="宋体" w:hAnsi="宋体" w:eastAsia="宋体" w:cs="宋体"/>
          <w:color w:val="000000" w:themeColor="text1"/>
          <w:szCs w:val="21"/>
        </w:rPr>
        <w:t>年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8</w:t>
      </w:r>
      <w:r>
        <w:rPr>
          <w:rFonts w:hint="eastAsia" w:ascii="宋体" w:hAnsi="宋体" w:eastAsia="宋体" w:cs="宋体"/>
          <w:color w:val="000000" w:themeColor="text1"/>
          <w:szCs w:val="21"/>
        </w:rPr>
        <w:t>月，“十四五”规划编制工作在网上征求意见，这在中央全会文件起草历史上是第一次。广大人民群众踊跃参与，网上留言有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100</w:t>
      </w:r>
      <w:r>
        <w:rPr>
          <w:rFonts w:hint="eastAsia" w:ascii="宋体" w:hAnsi="宋体" w:eastAsia="宋体" w:cs="宋体"/>
          <w:color w:val="000000" w:themeColor="text1"/>
          <w:szCs w:val="21"/>
        </w:rPr>
        <w:t>多万条，有关方面从中整理出了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1000</w:t>
      </w:r>
      <w:r>
        <w:rPr>
          <w:rFonts w:hint="eastAsia" w:ascii="宋体" w:hAnsi="宋体" w:eastAsia="宋体" w:cs="宋体"/>
          <w:color w:val="000000" w:themeColor="text1"/>
          <w:szCs w:val="21"/>
        </w:rPr>
        <w:t>多条意见建议。这说明了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①加强顶层设计和坚持问计于民的统一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②激发公众参与和确保科学决策的统一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③民意是政府正确决策的重要信息资源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④坚持党的领导和人民主体地位的统一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．②④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 xml:space="preserve">．①④        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．①③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．②③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21</w:t>
      </w:r>
      <w:r>
        <w:rPr>
          <w:rFonts w:hint="eastAsia" w:ascii="宋体" w:hAnsi="宋体" w:eastAsia="宋体" w:cs="宋体"/>
          <w:color w:val="000000" w:themeColor="text1"/>
          <w:szCs w:val="21"/>
        </w:rPr>
        <w:t>．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2020</w:t>
      </w:r>
      <w:r>
        <w:rPr>
          <w:rFonts w:hint="eastAsia" w:ascii="宋体" w:hAnsi="宋体" w:eastAsia="宋体" w:cs="宋体"/>
          <w:color w:val="000000" w:themeColor="text1"/>
          <w:szCs w:val="21"/>
        </w:rPr>
        <w:t>年是新疆维吾尔自治区成立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65</w:t>
      </w:r>
      <w:r>
        <w:rPr>
          <w:rFonts w:hint="eastAsia" w:ascii="宋体" w:hAnsi="宋体" w:eastAsia="宋体" w:cs="宋体"/>
          <w:color w:val="000000" w:themeColor="text1"/>
          <w:szCs w:val="21"/>
        </w:rPr>
        <w:t>周年。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65</w:t>
      </w:r>
      <w:r>
        <w:rPr>
          <w:rFonts w:hint="eastAsia" w:ascii="宋体" w:hAnsi="宋体" w:eastAsia="宋体" w:cs="宋体"/>
          <w:color w:val="000000" w:themeColor="text1"/>
          <w:szCs w:val="21"/>
        </w:rPr>
        <w:t>年来，中央财政对新疆补助累计超过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</w:rPr>
        <w:t>.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35</w:t>
      </w:r>
      <w:r>
        <w:rPr>
          <w:rFonts w:hint="eastAsia" w:ascii="宋体" w:hAnsi="宋体" w:eastAsia="宋体" w:cs="宋体"/>
          <w:color w:val="000000" w:themeColor="text1"/>
          <w:szCs w:val="21"/>
        </w:rPr>
        <w:t>万亿元，全国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19</w:t>
      </w:r>
      <w:r>
        <w:rPr>
          <w:rFonts w:hint="eastAsia" w:ascii="宋体" w:hAnsi="宋体" w:eastAsia="宋体" w:cs="宋体"/>
          <w:color w:val="000000" w:themeColor="text1"/>
          <w:szCs w:val="21"/>
        </w:rPr>
        <w:t>个省市对口支援新疆，新疆各族群众齐心协力，共同建设“大美新疆”。这有利于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①改善少数民族民生，建立新型的民族关系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②贯彻党的民族政策，促进各民族共同繁荣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③实现少数民族特殊利益和国家整体利益协调发展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④实现国家的集中统一领导和少数民族自治相结合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.①②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. ①④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. ②③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.③④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22</w:t>
      </w:r>
      <w:r>
        <w:rPr>
          <w:rFonts w:hint="eastAsia" w:ascii="宋体" w:hAnsi="宋体" w:eastAsia="宋体" w:cs="宋体"/>
          <w:color w:val="000000" w:themeColor="text1"/>
          <w:szCs w:val="21"/>
        </w:rPr>
        <w:t>.特朗普签署行政令，禁止与支付宝、微信等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8</w:t>
      </w:r>
      <w:r>
        <w:rPr>
          <w:rFonts w:hint="eastAsia" w:ascii="宋体" w:hAnsi="宋体" w:eastAsia="宋体" w:cs="宋体"/>
          <w:color w:val="000000" w:themeColor="text1"/>
          <w:szCs w:val="21"/>
        </w:rPr>
        <w:t>款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APP</w:t>
      </w:r>
      <w:r>
        <w:rPr>
          <w:rFonts w:hint="eastAsia" w:ascii="宋体" w:hAnsi="宋体" w:eastAsia="宋体" w:cs="宋体"/>
          <w:color w:val="000000" w:themeColor="text1"/>
          <w:szCs w:val="21"/>
        </w:rPr>
        <w:t>进行交易。中国外交部发表声明：中国企业将采取必要措施维护企业正当、合法权益。此声明表明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①我国坚持独立自主的外交立场   ②中美竞争取代了合作与冲突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③国际关系的实质是经济利益关系  ④我国坚定地维护国家利益 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.①④ 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．②③ 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．①② 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．③④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23</w:t>
      </w:r>
      <w:r>
        <w:rPr>
          <w:rFonts w:hint="eastAsia" w:ascii="宋体" w:hAnsi="宋体" w:eastAsia="宋体" w:cs="宋体"/>
          <w:color w:val="000000" w:themeColor="text1"/>
          <w:szCs w:val="21"/>
        </w:rPr>
        <w:t>.抗击疫情期间，武汉“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90</w:t>
      </w:r>
      <w:r>
        <w:rPr>
          <w:rFonts w:hint="eastAsia" w:ascii="宋体" w:hAnsi="宋体" w:eastAsia="宋体" w:cs="宋体"/>
          <w:color w:val="000000" w:themeColor="text1"/>
          <w:szCs w:val="21"/>
        </w:rPr>
        <w:t>后”餐饮店经营者邱贝文“觉得有种使命感”，手机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24</w:t>
      </w:r>
      <w:r>
        <w:rPr>
          <w:rFonts w:hint="eastAsia" w:ascii="宋体" w:hAnsi="宋体" w:eastAsia="宋体" w:cs="宋体"/>
          <w:color w:val="000000" w:themeColor="text1"/>
          <w:szCs w:val="21"/>
        </w:rPr>
        <w:t>小时开机，时刻做好准备为医护人员送餐……美德的行动，总是具有影响深远的传播力、动人心魄的震撼力。材料表明，高尚的道德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①以其特有的感召力和感染力，增强了人的精神力量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②能引起人的精神共鸣，决定人们认识的深度和广度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③在潜移默化中影响人们的世界观、人生观和价值观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④能直接转化为人们的自觉行动，产生深刻的影响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.①②  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 xml:space="preserve">.①③      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.②④   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.③④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24</w:t>
      </w:r>
      <w:r>
        <w:rPr>
          <w:rFonts w:hint="eastAsia" w:ascii="宋体" w:hAnsi="宋体" w:eastAsia="宋体" w:cs="宋体"/>
          <w:color w:val="000000" w:themeColor="text1"/>
          <w:szCs w:val="21"/>
        </w:rPr>
        <w:t>.大型光影表演《楚骚秀·九歌大典》以屈原诗篇《九歌》为蓝本打造，把诗歌中神与人的故事，以唯美形态呈现。融合激光、彩灯、音乐、歌唱，演绎屈原九歌故事。节目演出后，广受好评。这说明文化创新要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①形式创新，内容更新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②继承传统，推陈出新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③面向世界，博采众长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④不忘本来，面向未来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.②③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．①③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．①④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．②④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25</w:t>
      </w:r>
      <w:r>
        <w:rPr>
          <w:rFonts w:hint="eastAsia" w:ascii="宋体" w:hAnsi="宋体" w:eastAsia="宋体" w:cs="宋体"/>
          <w:color w:val="000000" w:themeColor="text1"/>
          <w:szCs w:val="21"/>
        </w:rPr>
        <w:t>.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70</w:t>
      </w:r>
      <w:r>
        <w:rPr>
          <w:rFonts w:hint="eastAsia" w:ascii="宋体" w:hAnsi="宋体" w:eastAsia="宋体" w:cs="宋体"/>
          <w:color w:val="000000" w:themeColor="text1"/>
          <w:szCs w:val="21"/>
        </w:rPr>
        <w:t>年前，战火在朝鲜半岛和中国东北边境地区燃起，我们党以非凡气魄和胆略作出抗美援朝、保家卫国的历史性决策。这一场战争告诉世人，支撑伟大战争的，不仅需要物质力量，更需要精神力量。由此可见，抗美援朝精神是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①爱国主义精神，捍卫了祖国和民族的尊严</w:t>
      </w:r>
      <w:r>
        <w:rPr>
          <w:rFonts w:ascii="宋体" w:hAnsi="宋体" w:eastAsia="宋体" w:cs="宋体"/>
          <w:color w:val="000000" w:themeColor="text1"/>
          <w:szCs w:val="21"/>
        </w:rPr>
        <w:tab/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②中华民族精神，在本质上是一种物质力量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③英雄主义精神，对战争结局起决定性作用</w:t>
      </w:r>
      <w:r>
        <w:rPr>
          <w:rFonts w:ascii="宋体" w:hAnsi="宋体" w:eastAsia="宋体" w:cs="宋体"/>
          <w:color w:val="000000" w:themeColor="text1"/>
          <w:szCs w:val="21"/>
        </w:rPr>
        <w:tab/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④国际主义精神，维护了亚洲和世界的和平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 xml:space="preserve">.①③      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.①④ 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.②③ 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.②④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26</w:t>
      </w:r>
      <w:r>
        <w:rPr>
          <w:rFonts w:hint="eastAsia" w:ascii="宋体" w:hAnsi="宋体" w:eastAsia="宋体" w:cs="宋体"/>
          <w:color w:val="000000" w:themeColor="text1"/>
          <w:szCs w:val="21"/>
        </w:rPr>
        <w:t>.《咬文嚼字》杂志评出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2020</w:t>
      </w:r>
      <w:r>
        <w:rPr>
          <w:rFonts w:hint="eastAsia" w:ascii="宋体" w:hAnsi="宋体" w:eastAsia="宋体" w:cs="宋体"/>
          <w:color w:val="000000" w:themeColor="text1"/>
          <w:szCs w:val="21"/>
        </w:rPr>
        <w:pict>
          <v:shape id="_x0000_i1025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szCs w:val="21"/>
        </w:rPr>
        <w:t>年十大流行语，它们分别是“人民至上生命至上”、逆行者、后浪、飒、神兽、直播带货、双循环、打工人、内卷和凡尔赛文学。这表明文化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．彰显时代精神，引领时代发展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．决定时代走向，创造时代未来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．汇集时代智慧，体现时代潮流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．源于时代实践，反映时代变迁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27</w:t>
      </w:r>
      <w:r>
        <w:rPr>
          <w:rFonts w:hint="eastAsia" w:ascii="宋体" w:hAnsi="宋体" w:eastAsia="宋体" w:cs="宋体"/>
          <w:color w:val="000000" w:themeColor="text1"/>
          <w:szCs w:val="21"/>
        </w:rPr>
        <w:t>．习近平在教育文化卫生体育领域专家代表座谈会上指出，近几年我国文化建设在正本清源、守正创新中取得历史性成就、发生历史性变革，为新时代坚持和发展中国特色社会主义、开创党和国家事业全新局面提供了强大正能量。这说明我们在文化建设中要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①立足于人民美好生活的精神文化需要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②用社会主义核心价值观引领社会思潮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③坚守中华文化立场，发展社会主义先进文化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④推动中华传统文化创造性转化、创新性发展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．①②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．①④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．②③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．③④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28</w:t>
      </w:r>
      <w:r>
        <w:rPr>
          <w:rFonts w:hint="eastAsia" w:ascii="宋体" w:hAnsi="宋体" w:eastAsia="宋体" w:cs="宋体"/>
          <w:color w:val="000000" w:themeColor="text1"/>
          <w:szCs w:val="21"/>
        </w:rPr>
        <w:t>.恩格斯说：“自然研究家尽管可以采取他们所愿意采取的态度，他们还是得受哲学的支配”，这是因为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.具体科学的进步发展可以推动哲学的发展</w:t>
      </w:r>
      <w:r>
        <w:rPr>
          <w:rFonts w:hint="eastAsia" w:ascii="宋体" w:hAnsi="宋体" w:eastAsia="宋体" w:cs="宋体"/>
          <w:color w:val="000000" w:themeColor="text1"/>
          <w:szCs w:val="21"/>
        </w:rPr>
        <w:tab/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26670</wp:posOffset>
            </wp:positionV>
            <wp:extent cx="1790700" cy="1485900"/>
            <wp:effectExtent l="0" t="0" r="0" b="0"/>
            <wp:wrapSquare wrapText="bothSides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.哲学为具体科学提供世界观方法论的指导</w:t>
      </w:r>
      <w:r>
        <w:rPr>
          <w:rFonts w:hint="eastAsia" w:ascii="宋体" w:hAnsi="宋体" w:eastAsia="宋体" w:cs="宋体"/>
          <w:color w:val="000000" w:themeColor="text1"/>
          <w:szCs w:val="21"/>
        </w:rPr>
        <w:tab/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.哲学从具体科学知识中概括出一般的结论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.科学研究接受哲学指导就不会偏离正确方向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360" w:hanging="3360" w:hangingChars="160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29</w:t>
      </w:r>
      <w:r>
        <w:rPr>
          <w:rFonts w:hint="eastAsia" w:ascii="宋体" w:hAnsi="宋体" w:eastAsia="宋体" w:cs="宋体"/>
          <w:color w:val="000000" w:themeColor="text1"/>
          <w:szCs w:val="21"/>
        </w:rPr>
        <w:t>.漫画《全凭一张嘴》告诫我们要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 坚持真理，不因条件变化而改变认识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. 勇于创新，用发展的眼光看问题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. 坚持一切从实际出发，实事求是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. 发挥主观能动性，创造条件改变世界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30</w:t>
      </w:r>
      <w:r>
        <w:rPr>
          <w:rFonts w:hint="eastAsia" w:ascii="宋体" w:hAnsi="宋体" w:eastAsia="宋体" w:cs="宋体"/>
          <w:color w:val="000000" w:themeColor="text1"/>
          <w:szCs w:val="21"/>
        </w:rPr>
        <w:t>.“装点此关山，今朝更好看。”浦东开发开放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30</w:t>
      </w:r>
      <w:r>
        <w:rPr>
          <w:rFonts w:hint="eastAsia" w:ascii="宋体" w:hAnsi="宋体" w:eastAsia="宋体" w:cs="宋体"/>
          <w:color w:val="000000" w:themeColor="text1"/>
          <w:szCs w:val="21"/>
        </w:rPr>
        <w:t>年的历程，走的是一条创新突破之路。展望未来，我们完全有理由相信，在新时代中国发展的壮阔征程上，上海一定能创造出令世界刮目相看的新奇迹。由此可见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①创新要敢于破除思想观念，实现对实践的突破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210" w:leftChars="100" w:firstLine="105" w:firstLineChars="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②创新要敢于寻找新思路，开拓新境界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210" w:leftChars="100" w:firstLine="105" w:firstLineChars="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③要敢于全盘打碎旧事物，为新事物的发展腾岀空间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210" w:leftChars="100" w:firstLine="105" w:firstLineChars="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④事物发展的前途是光明的，方向是前进的、上升的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210" w:leftChars="100" w:firstLine="105" w:firstLineChars="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 ①③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. ①④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.②④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. ②③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31</w:t>
      </w:r>
      <w:r>
        <w:rPr>
          <w:rFonts w:hint="eastAsia" w:ascii="宋体" w:hAnsi="宋体" w:eastAsia="宋体" w:cs="宋体"/>
          <w:color w:val="000000" w:themeColor="text1"/>
          <w:szCs w:val="21"/>
        </w:rPr>
        <w:t>. 党的十九届五中全会强调：坚持把解决好“三农”问题作为全党工作重中之重，优先发展农业农村，全面推进乡村振兴。这说明解决好“三农”问题，要处理好</w:t>
      </w:r>
    </w:p>
    <w:p>
      <w:pPr>
        <w:tabs>
          <w:tab w:val="left" w:pos="315"/>
          <w:tab w:val="left" w:pos="4605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①整体和部分的关系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②矛盾普遍性和特殊性的关系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③主要矛盾和次要矛盾的关系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④矛盾主要方面和次要方面的关系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.①③ 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.①④  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.②③   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.②④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32</w:t>
      </w:r>
      <w:r>
        <w:rPr>
          <w:rFonts w:hint="eastAsia" w:ascii="宋体" w:hAnsi="宋体" w:eastAsia="宋体" w:cs="宋体"/>
          <w:color w:val="000000" w:themeColor="text1"/>
          <w:szCs w:val="21"/>
        </w:rPr>
        <w:t>.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2020</w:t>
      </w:r>
      <w:r>
        <w:rPr>
          <w:rFonts w:hint="eastAsia" w:ascii="宋体" w:hAnsi="宋体" w:eastAsia="宋体" w:cs="宋体"/>
          <w:color w:val="000000" w:themeColor="text1"/>
          <w:szCs w:val="21"/>
        </w:rPr>
        <w:t>年8月，浙江籍中国工程院院士陈薇获“人民英雄”国家荣誉称号。她曾带领军事医学专家组奔赴武汉，在基础研究、疫苗、防护药物研发方面取得重大成果，和全国人民一同打赢这场艰苦卓绝的抗疫斗争。这告诉我们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①人既是价值的创造者，又是价值的享受者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②人生价值的实现需要得到国家和社会的认可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③人生价值只有在牺牲自我中才能实现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④人生价值要在个人与社会的统一中实现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Times New Roman" w:hAnsi="Times New Roman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.①③ 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</w:rPr>
        <w:t>.①④ 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</w:rPr>
        <w:t>.②④ 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</w:rPr>
        <w:t>.③④</w:t>
      </w:r>
      <w:bookmarkStart w:id="3" w:name="bookmark49"/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b/>
          <w:bCs/>
          <w:color w:val="000000" w:themeColor="text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三</w:t>
      </w:r>
      <w:bookmarkEnd w:id="3"/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、选择题Ⅱ（本大题共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Cs w:val="21"/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小题，每小题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Cs w:val="21"/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分，共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Cs w:val="21"/>
        </w:rPr>
        <w:t>15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分，每小题列出的四个备选项中只有一个是符合题目要求的，不选、多选、错选均不得分）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33.</w:t>
      </w:r>
      <w:r>
        <w:rPr>
          <w:rFonts w:ascii="宋体" w:hAnsi="宋体" w:eastAsia="宋体" w:cs="宋体"/>
          <w:color w:val="000000" w:themeColor="text1"/>
          <w:szCs w:val="21"/>
        </w:rPr>
        <w:t xml:space="preserve"> 市场上甲商品价格上升，带来了乙商品需求量的增加。在其他条件不变的情况下，下列判断正确的是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①甲商品的需求量受乙商品价格的影响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②甲商品价格上升会使乙商品价格下降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③甲商品价值量降低时，人们对乙商品的需求增加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④人们的某一特定需要，甲乙两种商品都可以满足</w:t>
      </w:r>
    </w:p>
    <w:p>
      <w:pPr>
        <w:tabs>
          <w:tab w:val="left" w:pos="315"/>
          <w:tab w:val="left" w:pos="2520"/>
          <w:tab w:val="left" w:pos="4515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A.①②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B.①④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C.②③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D.③④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 xml:space="preserve">34. </w:t>
      </w:r>
      <w:r>
        <w:rPr>
          <w:rFonts w:ascii="宋体" w:hAnsi="宋体" w:eastAsia="宋体" w:cs="宋体"/>
          <w:color w:val="000000" w:themeColor="text1"/>
          <w:szCs w:val="21"/>
        </w:rPr>
        <w:t>疫情防控期间，多人因隐瞒境外行程、入境未如实申报健康状况被处理。入境人员无论是回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到中国的家，还是到中国“避疫”，都必须遵守我国的法律法规，也有责任理解并支持政府出台的相关规定。由此可见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①平等是社会主义法律的基本属性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②服从政府管理是公民根本的行为准则</w:t>
      </w:r>
    </w:p>
    <w:p>
      <w:pPr>
        <w:tabs>
          <w:tab w:val="left" w:pos="315"/>
          <w:tab w:val="left" w:pos="2520"/>
          <w:tab w:val="left" w:pos="4625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③人民民主是最广泛、最真实的民主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④支持政府工作是公民政治素养的体现</w:t>
      </w:r>
    </w:p>
    <w:p>
      <w:pPr>
        <w:tabs>
          <w:tab w:val="left" w:pos="315"/>
          <w:tab w:val="left" w:pos="2415"/>
          <w:tab w:val="left" w:pos="4415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A.①②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B.①④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C.②③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D.③④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35.</w:t>
      </w:r>
      <w:r>
        <w:rPr>
          <w:rFonts w:ascii="宋体" w:hAnsi="宋体" w:eastAsia="宋体" w:cs="宋体"/>
          <w:color w:val="000000" w:themeColor="text1"/>
          <w:szCs w:val="21"/>
        </w:rPr>
        <w:t xml:space="preserve"> 杭州2022年亚运会吉样物是一组名为“江南忆”的机器人。“江南忆”出自唐朝诗人白居易的名句“江南忆，最忆是杭州”，三个吉样物“</w:t>
      </w:r>
      <w:r>
        <w:rPr>
          <w:rFonts w:hint="eastAsia" w:ascii="宋体" w:hAnsi="宋体" w:eastAsia="宋体" w:cs="宋体"/>
          <w:color w:val="000000" w:themeColor="text1"/>
          <w:szCs w:val="21"/>
        </w:rPr>
        <w:t>踪</w:t>
      </w:r>
      <w:r>
        <w:rPr>
          <w:rFonts w:ascii="宋体" w:hAnsi="宋体" w:eastAsia="宋体" w:cs="宋体"/>
          <w:color w:val="000000" w:themeColor="text1"/>
          <w:szCs w:val="21"/>
        </w:rPr>
        <w:t>踪”、“莲莲”、“</w:t>
      </w:r>
      <w:r>
        <w:rPr>
          <w:rFonts w:hint="eastAsia" w:ascii="宋体" w:hAnsi="宋体" w:eastAsia="宋体" w:cs="宋体"/>
          <w:color w:val="000000" w:themeColor="text1"/>
          <w:szCs w:val="21"/>
        </w:rPr>
        <w:t>宸宸</w:t>
      </w:r>
      <w:r>
        <w:rPr>
          <w:rFonts w:ascii="宋体" w:hAnsi="宋体" w:eastAsia="宋体" w:cs="宋体"/>
          <w:color w:val="000000" w:themeColor="text1"/>
          <w:szCs w:val="21"/>
        </w:rPr>
        <w:t>”分别代表世界遗产良渚古城遗址、西湖和京杭大运河，承载了深厚底蕴，充满了时代活力，融合了杭州的历史人文、自然生态和创新基因。这表明</w:t>
      </w:r>
    </w:p>
    <w:p>
      <w:pPr>
        <w:tabs>
          <w:tab w:val="left" w:pos="315"/>
          <w:tab w:val="left" w:pos="2520"/>
          <w:tab w:val="left" w:pos="4515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①精神产品凝结在一定的物质载体之中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②文化创新源于人们对传统文化的继承</w:t>
      </w:r>
    </w:p>
    <w:p>
      <w:pPr>
        <w:tabs>
          <w:tab w:val="left" w:pos="315"/>
          <w:tab w:val="left" w:pos="2520"/>
          <w:tab w:val="left" w:pos="4515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③体现时代精神是文化创新的重要追求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④不同民族文化之间可以取长补短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A.①②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B.①③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C.②④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D.③④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36.2020年11月10日，中国“奋斗者”号载人潜水器在马里亚纳海沟成功坐底! 坐底深度10909米。海沟究竟有多深，尚需应用多种技术进行综合计算。在数据分析、处理基础上，还要进行理论研究和反复验证，才能最终确定精确深度。这一过程进一步佐证了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①现代科技手段是正确认识事物的前提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②认识具有反复性、无限性、上升性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③实践是检验认识的真理性的唯一标准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④实践是获得正确认识的唯一途径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A.①② 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B.①④ 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C.②③   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</w:rPr>
        <w:t>D.③④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hanging="315" w:hanging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37.</w:t>
      </w:r>
      <w:r>
        <w:rPr>
          <w:rFonts w:ascii="宋体" w:hAnsi="宋体" w:eastAsia="宋体" w:cs="宋体"/>
          <w:color w:val="000000" w:themeColor="text1"/>
          <w:szCs w:val="21"/>
        </w:rPr>
        <w:t xml:space="preserve"> 102年前，当那场席卷全球的西班牙大流感爆发时，人类抵抗病毒，只能靠专业的“人”。102年后的今天，在对抗新冠疫情的战争中，除了专业的人，人工智能在疫情监测分析、人员物资管控、医疗救治、药品研发、后勤保障、复工复产等方面发挥了重要作用。从哲学角度看，智能机器人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①是人意识的物化，其智能源自于社会实践活动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②模拟了人的意识，能够创造理想或幻想的世界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③作为新的实践主体，推动社会生活面貌的改变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wordWrap/>
        <w:spacing w:beforeAutospacing="0" w:afterAutospacing="0" w:line="360" w:lineRule="auto"/>
        <w:ind w:left="315" w:leftChars="1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④源于实践，是人类根据条件创造的新物质形态</w:t>
      </w:r>
    </w:p>
    <w:p>
      <w:pPr>
        <w:tabs>
          <w:tab w:val="left" w:pos="315"/>
          <w:tab w:val="left" w:pos="2520"/>
          <w:tab w:val="left" w:pos="4635"/>
          <w:tab w:val="left" w:pos="6720"/>
        </w:tabs>
        <w:wordWrap/>
        <w:spacing w:beforeAutospacing="0" w:afterAutospacing="0" w:line="360" w:lineRule="auto"/>
        <w:ind w:left="315" w:leftChars="150" w:firstLine="105" w:firstLineChars="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ascii="宋体" w:hAnsi="宋体" w:eastAsia="宋体" w:cs="宋体"/>
          <w:color w:val="000000" w:themeColor="text1"/>
          <w:szCs w:val="21"/>
        </w:rPr>
        <w:t>A.①③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B.②③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C.①④</w:t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ab/>
      </w:r>
      <w:r>
        <w:rPr>
          <w:rFonts w:ascii="宋体" w:hAnsi="宋体" w:eastAsia="宋体" w:cs="宋体"/>
          <w:color w:val="000000" w:themeColor="text1"/>
          <w:szCs w:val="21"/>
        </w:rPr>
        <w:t>D.②④</w:t>
      </w:r>
    </w:p>
    <w:p>
      <w:pPr>
        <w:pStyle w:val="2"/>
        <w:wordWrap/>
        <w:spacing w:beforeAutospacing="0" w:afterAutospacing="0" w:line="360" w:lineRule="auto"/>
        <w:ind w:left="0"/>
      </w:pPr>
    </w:p>
    <w:p>
      <w:pPr>
        <w:wordWrap/>
        <w:adjustRightInd w:val="0"/>
        <w:snapToGrid w:val="0"/>
        <w:spacing w:beforeAutospacing="0" w:afterAutospacing="0" w:line="360" w:lineRule="auto"/>
        <w:ind w:left="412" w:hanging="411" w:hangingChars="147"/>
        <w:jc w:val="center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 w:eastAsia="黑体" w:cs="宋体"/>
          <w:color w:val="000000" w:themeColor="text1"/>
          <w:kern w:val="0"/>
          <w:sz w:val="28"/>
          <w:szCs w:val="28"/>
        </w:rPr>
        <w:t>非选择题部分</w:t>
      </w:r>
    </w:p>
    <w:p>
      <w:pPr>
        <w:wordWrap/>
        <w:spacing w:beforeAutospacing="0" w:afterAutospacing="0" w:line="360" w:lineRule="auto"/>
        <w:ind w:left="420" w:hanging="422" w:hangingChars="200"/>
        <w:rPr>
          <w:rFonts w:ascii="宋体" w:hAnsi="宋体" w:eastAsia="宋体" w:cs="宋体"/>
          <w:b/>
          <w:bCs/>
          <w:color w:val="000000" w:themeColor="text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四、综合题（本大题共3小题，共31分）</w:t>
      </w:r>
    </w:p>
    <w:p>
      <w:pPr>
        <w:wordWrap/>
        <w:spacing w:beforeAutospacing="0" w:afterAutospacing="0" w:line="360" w:lineRule="auto"/>
        <w:ind w:left="315" w:hanging="315" w:hangingChars="150"/>
        <w:rPr>
          <w:rFonts w:ascii="楷体" w:hAnsi="楷体" w:eastAsia="楷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38</w:t>
      </w:r>
      <w:r>
        <w:rPr>
          <w:rFonts w:hint="eastAsia" w:ascii="宋体" w:hAnsi="宋体" w:eastAsia="宋体" w:cs="宋体"/>
          <w:color w:val="000000" w:themeColor="text1"/>
          <w:szCs w:val="21"/>
        </w:rPr>
        <w:t xml:space="preserve">. </w:t>
      </w:r>
      <w:r>
        <w:rPr>
          <w:rFonts w:hint="eastAsia" w:ascii="楷体" w:hAnsi="楷体" w:eastAsia="楷体" w:cs="宋体"/>
          <w:color w:val="000000" w:themeColor="text1"/>
          <w:szCs w:val="21"/>
        </w:rPr>
        <w:t>数字技术的催生下，其中以网络购物、移动支付、直播带货、社群团购等新业态新模式为特征的新型消费强势增长作用显著。这种新型的消费模式极大地突破了空间的束缚，更好地激发市场活力——有效打通产销对接通道，能够释放出更大的消费潜力，这不仅仅代表着人们消费能力的提高，更具体显示为零售领域供应链的数字化、智能化升级。从“买得到”到“买得好”，从买商品到买体验转变。如果要做好新业态新模式促进消费发展，还需要不断补齐基础设施不足带来的服务供给短板,完善新型消费模式的供应链体系，加强市场监管，处理好无序竞争、虚假宣传、价格欺诈、隐私泄露等情况。</w:t>
      </w:r>
    </w:p>
    <w:p>
      <w:pPr>
        <w:pStyle w:val="19"/>
        <w:wordWrap/>
        <w:snapToGrid w:val="0"/>
        <w:spacing w:beforeAutospacing="0" w:afterAutospacing="0" w:line="360" w:lineRule="auto"/>
        <w:ind w:firstLine="420" w:firstLineChars="200"/>
        <w:textAlignment w:val="center"/>
        <w:rPr>
          <w:rFonts w:hAnsi="宋体" w:cs="宋体"/>
          <w:color w:val="000000" w:themeColor="text1"/>
        </w:rPr>
      </w:pPr>
      <w:r>
        <w:rPr>
          <w:rFonts w:hint="eastAsia" w:hAnsi="宋体" w:cs="宋体"/>
          <w:color w:val="000000" w:themeColor="text1"/>
        </w:rPr>
        <w:t>结合材料，运用《经济生活》的相关知识，回答下列问题：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（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</w:rPr>
        <w:t>）运用消费的相关知识，说明新业态新模式能够促进消费发展的原因。（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6</w:t>
      </w:r>
      <w:r>
        <w:rPr>
          <w:rFonts w:hint="eastAsia" w:ascii="宋体" w:hAnsi="宋体" w:eastAsia="宋体" w:cs="宋体"/>
          <w:color w:val="000000" w:themeColor="text1"/>
          <w:szCs w:val="21"/>
        </w:rPr>
        <w:t>分）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b/>
          <w:bCs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（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</w:rPr>
        <w:t>）</w:t>
      </w:r>
      <w:r>
        <w:rPr>
          <w:rStyle w:val="11"/>
          <w:rFonts w:hint="eastAsia" w:ascii="宋体" w:hAnsi="宋体" w:eastAsia="宋体" w:cs="宋体"/>
          <w:b w:val="0"/>
          <w:bCs/>
          <w:color w:val="000000" w:themeColor="text1"/>
          <w:spacing w:val="8"/>
          <w:szCs w:val="21"/>
          <w:shd w:val="clear" w:color="auto" w:fill="FFFFFF"/>
        </w:rPr>
        <w:t>针对消费的薄弱环节，请从市场经济的角度提出两条改进建议。</w:t>
      </w:r>
      <w:r>
        <w:rPr>
          <w:rFonts w:hint="eastAsia" w:ascii="宋体" w:hAnsi="宋体" w:eastAsia="宋体" w:cs="宋体"/>
          <w:color w:val="000000" w:themeColor="text1"/>
          <w:szCs w:val="21"/>
        </w:rPr>
        <w:t>(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</w:rPr>
        <w:t>分)</w:t>
      </w:r>
    </w:p>
    <w:p>
      <w:pPr>
        <w:wordWrap/>
        <w:spacing w:beforeAutospacing="0" w:afterAutospacing="0" w:line="360" w:lineRule="auto"/>
        <w:ind w:left="315" w:hanging="315" w:hangingChars="150"/>
        <w:rPr>
          <w:rFonts w:ascii="楷体" w:hAnsi="楷体" w:eastAsia="楷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39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eastAsia" w:ascii="楷体" w:hAnsi="楷体" w:eastAsia="楷体" w:cs="宋体"/>
          <w:szCs w:val="21"/>
        </w:rPr>
        <w:t>40年来，深圳最成功的经验就是围绕建立社会主义市场经济体制积极探索，进行了土地等要素的市场化改革，提高了要素配置的效率，激发了市场的活力。中共中央办公厅、国务院办公厅印发《深圳建设中国特色社会主义先行示范区综合改革试点实施方案（2020－2025年）》，</w:t>
      </w:r>
      <w:r>
        <w:rPr>
          <w:rFonts w:hint="eastAsia" w:ascii="楷体" w:hAnsi="楷体" w:eastAsia="楷体" w:cs="宋体"/>
          <w:color w:val="333333"/>
          <w:szCs w:val="21"/>
          <w:shd w:val="clear" w:color="auto" w:fill="FFFFFF"/>
        </w:rPr>
        <w:t>支持深圳扩宽经济特区立法空间，依法制定经济特区法规规章，</w:t>
      </w:r>
      <w:r>
        <w:rPr>
          <w:rFonts w:hint="eastAsia" w:ascii="楷体" w:hAnsi="楷体" w:eastAsia="楷体" w:cs="宋体"/>
          <w:szCs w:val="21"/>
        </w:rPr>
        <w:t>支持深圳率先构建全要素市场化配置的体制机制，为国家建设统一开放、竞争有序的要素市场体系探索新路径，助推经济高质量发展。</w:t>
      </w:r>
      <w:r>
        <w:rPr>
          <w:rFonts w:hint="eastAsia" w:ascii="楷体" w:hAnsi="楷体" w:eastAsia="楷体" w:cs="Arial"/>
          <w:color w:val="191919"/>
          <w:szCs w:val="21"/>
          <w:shd w:val="clear" w:color="auto" w:fill="FFFFFF"/>
        </w:rPr>
        <w:t>深圳经济特区的沧桑巨变，是中国40年改革开放的精彩缩影，是中国共产党执政的光辉杰作，是中国特色社会主义优越性的有力印证。</w:t>
      </w:r>
    </w:p>
    <w:p>
      <w:pPr>
        <w:pStyle w:val="19"/>
        <w:wordWrap/>
        <w:snapToGrid w:val="0"/>
        <w:spacing w:beforeAutospacing="0" w:afterAutospacing="0" w:line="360" w:lineRule="auto"/>
        <w:ind w:firstLine="420" w:firstLineChars="200"/>
        <w:textAlignment w:val="center"/>
        <w:rPr>
          <w:color w:val="000000" w:themeColor="text1"/>
        </w:rPr>
      </w:pPr>
      <w:r>
        <w:rPr>
          <w:rFonts w:hint="eastAsia" w:hAnsi="宋体" w:cs="宋体"/>
          <w:color w:val="000000" w:themeColor="text1"/>
        </w:rPr>
        <w:t>结合材料，运用《政治生活》《生活与哲学》的相关知识，回答下列问题：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（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</w:rPr>
        <w:t>）运用“中国特色社会主义最本质的特征”阐述党在深圳改革开放中发挥的作用。（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</w:rPr>
        <w:t>分）</w:t>
      </w:r>
    </w:p>
    <w:p>
      <w:pPr>
        <w:wordWrap/>
        <w:spacing w:beforeAutospacing="0" w:afterAutospacing="0" w:line="360" w:lineRule="auto"/>
        <w:ind w:left="525" w:hanging="525" w:hangingChars="25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（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</w:rPr>
        <w:t>）深圳的市场化改革发展实践证明，唯有改革才有出路，请运用社会基本矛盾的知识加以说明。（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7</w:t>
      </w:r>
      <w:r>
        <w:rPr>
          <w:rFonts w:hint="eastAsia" w:ascii="宋体" w:hAnsi="宋体" w:eastAsia="宋体" w:cs="宋体"/>
          <w:color w:val="000000" w:themeColor="text1"/>
          <w:szCs w:val="21"/>
        </w:rPr>
        <w:t>分）</w:t>
      </w:r>
    </w:p>
    <w:p>
      <w:pPr>
        <w:wordWrap/>
        <w:spacing w:beforeAutospacing="0" w:afterAutospacing="0" w:line="360" w:lineRule="auto"/>
        <w:ind w:left="315" w:hanging="315" w:hangingChars="150"/>
        <w:rPr>
          <w:rFonts w:ascii="楷体" w:hAnsi="楷体" w:eastAsia="楷体" w:cs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40</w:t>
      </w:r>
      <w:r>
        <w:rPr>
          <w:rFonts w:hint="eastAsia" w:ascii="宋体" w:hAnsi="宋体" w:eastAsia="宋体" w:cs="宋体"/>
          <w:color w:val="000000" w:themeColor="text1"/>
          <w:szCs w:val="21"/>
        </w:rPr>
        <w:t>.</w:t>
      </w:r>
      <w:r>
        <w:rPr>
          <w:rFonts w:hint="eastAsia" w:ascii="楷体" w:hAnsi="楷体" w:eastAsia="楷体" w:cs="宋体"/>
          <w:color w:val="000000" w:themeColor="text1"/>
          <w:szCs w:val="21"/>
        </w:rPr>
        <w:t>我国北斗系统发展采取了“三步走”战略：第一步，在2000年底，建成北斗一号系统，初步满足了中国及周边区域的定位、导航、授时需求；第二步，在2012年底，建成北斗二号系统，对亚太地区提供全天候定位、导航、授时服务；第三步，2020年7月31日，北斗三号卫星导航系统建成并正式开通，在北斗一号和二号的基础上，进一步提升性能、扩展功能，为全球用户提供定位导航授时、全球短报文通信和国际搜救等服务。北斗三号卫星导航系统建成对提升我国综合国力，对进一步增强民族自信心、努力实现“两个一百年”奋斗目标，具有十分重要的意义。</w:t>
      </w:r>
    </w:p>
    <w:p>
      <w:pPr>
        <w:pStyle w:val="19"/>
        <w:wordWrap/>
        <w:snapToGrid w:val="0"/>
        <w:spacing w:beforeAutospacing="0" w:afterAutospacing="0" w:line="360" w:lineRule="auto"/>
        <w:ind w:firstLine="420" w:firstLineChars="200"/>
        <w:textAlignment w:val="center"/>
        <w:rPr>
          <w:color w:val="000000" w:themeColor="text1"/>
        </w:rPr>
      </w:pPr>
      <w:r>
        <w:rPr>
          <w:rFonts w:hint="eastAsia" w:hAnsi="宋体" w:cs="宋体"/>
          <w:color w:val="000000" w:themeColor="text1"/>
        </w:rPr>
        <w:t>结合材料，运用《文化生活》《生活与哲学》的相关知识，回答下列问题：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（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</w:rPr>
        <w:t>）运用“文化在综合国力的竞争中”的相关知识，分析推广北斗系统的意义。（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</w:rPr>
        <w:t>分）</w:t>
      </w:r>
    </w:p>
    <w:p>
      <w:pPr>
        <w:wordWrap/>
        <w:spacing w:beforeAutospacing="0" w:afterAutospacing="0" w:line="360" w:lineRule="auto"/>
        <w:rPr>
          <w:rFonts w:hint="eastAsia"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（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</w:rPr>
        <w:t>）运用量变和质变的辩证关系知识说明中国北斗系统“三步走”战略的科学性。 (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6</w:t>
      </w:r>
      <w:r>
        <w:rPr>
          <w:rFonts w:hint="eastAsia" w:ascii="宋体" w:hAnsi="宋体" w:eastAsia="宋体" w:cs="宋体"/>
          <w:color w:val="000000" w:themeColor="text1"/>
          <w:szCs w:val="21"/>
        </w:rPr>
        <w:t>分)</w:t>
      </w:r>
    </w:p>
    <w:p>
      <w:pPr>
        <w:wordWrap/>
        <w:spacing w:beforeAutospacing="0" w:afterAutospacing="0" w:line="360" w:lineRule="auto"/>
        <w:rPr>
          <w:rFonts w:hint="eastAsia"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jc w:val="center"/>
        <w:textAlignment w:val="top"/>
        <w:rPr>
          <w:rFonts w:ascii="宋体"/>
          <w:bCs/>
          <w:sz w:val="30"/>
        </w:rPr>
      </w:pPr>
      <w:r>
        <w:rPr>
          <w:rFonts w:hint="eastAsia" w:ascii="黑体" w:hAnsi="宋体" w:eastAsia="黑体"/>
          <w:bCs/>
          <w:sz w:val="30"/>
        </w:rPr>
        <w:t>高二政治试题参考答案</w:t>
      </w:r>
      <w:r>
        <w:rPr>
          <w:rFonts w:hint="eastAsia" w:ascii="宋体" w:hAnsi="宋体"/>
          <w:bCs/>
          <w:sz w:val="30"/>
        </w:rPr>
        <w:t>（</w:t>
      </w:r>
      <w:r>
        <w:rPr>
          <w:rFonts w:ascii="宋体" w:hAnsi="宋体"/>
          <w:bCs/>
          <w:sz w:val="30"/>
        </w:rPr>
        <w:t>20</w:t>
      </w:r>
      <w:r>
        <w:rPr>
          <w:rFonts w:hint="eastAsia" w:ascii="宋体" w:hAnsi="宋体"/>
          <w:bCs/>
          <w:sz w:val="30"/>
        </w:rPr>
        <w:t>21</w:t>
      </w:r>
      <w:r>
        <w:rPr>
          <w:rFonts w:ascii="宋体"/>
          <w:bCs/>
          <w:sz w:val="30"/>
        </w:rPr>
        <w:t>.</w:t>
      </w:r>
      <w:r>
        <w:rPr>
          <w:rFonts w:hint="eastAsia" w:ascii="宋体" w:hAnsi="宋体"/>
          <w:bCs/>
          <w:sz w:val="30"/>
        </w:rPr>
        <w:t>2）</w:t>
      </w:r>
    </w:p>
    <w:p>
      <w:pPr>
        <w:pStyle w:val="2"/>
        <w:wordWrap/>
        <w:spacing w:beforeAutospacing="0" w:afterAutospacing="0" w:line="360" w:lineRule="auto"/>
        <w:ind w:left="0"/>
      </w:pPr>
      <w:r>
        <w:rPr>
          <w:rFonts w:hint="eastAsia"/>
          <w:b/>
          <w:bCs/>
        </w:rPr>
        <w:t>客观题答案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54"/>
        <w:gridCol w:w="854"/>
        <w:gridCol w:w="854"/>
        <w:gridCol w:w="854"/>
        <w:gridCol w:w="854"/>
        <w:gridCol w:w="854"/>
        <w:gridCol w:w="854"/>
        <w:gridCol w:w="854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T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T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T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T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36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37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B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B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B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B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wordWrap/>
              <w:spacing w:beforeAutospacing="0" w:afterAutospacing="0" w:line="360" w:lineRule="auto"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C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C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wordWrap/>
        <w:spacing w:beforeAutospacing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主观题答案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38.（1）①生产决定消费方式、质量和水平，经济持续健康发展，新业态新模式拓宽消费者的购物渠道，更大的释放消费潜力，</w:t>
      </w:r>
      <w:bookmarkStart w:id="4" w:name="_GoBack"/>
      <w:bookmarkEnd w:id="4"/>
      <w:r>
        <w:rPr>
          <w:rFonts w:hint="eastAsia"/>
        </w:rPr>
        <w:t>促进消费发展。（2分）②交换是连接生产与消费的桥梁和纽带，新业态新消费模式能够有效打通产销对接通道，挖掘新消费的潜力。（2分）③新业态新模式有利于满足消费多样化的购物体验，引领消费升级，满足人们日益增长的美好生活的需要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（2）建议如下：①加大财政支持力度（加强宏观调控）,完善基础设施建设；②发挥市场对资源配置的决定性作用，建设统一开放、竞争有序的现代市场体系，健全适应新消费发展的供应链体系</w:t>
      </w:r>
      <w:r>
        <w:rPr>
          <w:rFonts w:hint="eastAsia"/>
          <w:lang w:eastAsia="zh-CN"/>
        </w:rPr>
        <w:t>；</w:t>
      </w:r>
      <w:r>
        <w:rPr>
          <w:rFonts w:hint="eastAsia"/>
        </w:rPr>
        <w:t>③建立公平开放透明的市场规则,实行统一的市场监管,反对地方保护,反对垄断和不正当竞争，营造良好的营商环境；④切实加强社会诚信建设,建立健全社会征信体系,褒扬诚信,惩戒失信,在全社会形成守信光荣、失信可耻的氛围，推动新型消费健康发展。（写出其中1点就给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39.（1）中国特色社会主义最本质的特征是中国共产党领导。（1分）党是最高政治领导力量，党政军民学，东西南北中，党是领导一切的。（1分）坚持党的领导，是深圳特区建设和改革事业不断取得胜利的政治保证。（1分）党始终在深圳经济特区事业中发挥总揽全局、协调各方的领导核心作用。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（2）①生产关系对生产力具有反作用,当生产关系适合生产力发展状况时，它对生产力的发展起推动作用。深圳进行经济体制探索，推进要素的市场化改革，不断破除阻碍生产力发展的经济体制和机制弊端，极大地解放了生产力。（2分）②上层建筑对经济基础具有反作用，当上层建筑为先进的经济基础服务，上层建筑适合经济基础状况时，它促进经济基础的巩固和完善，从而推动生产力的发展。从法律方面赋予深圳更多改革上的自主权，深圳综合改革试点实施方案适合深圳目前的发展实际，有利于巩固和完善我国的经济体制，促进我国经济的高质量发展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③在社会主义社会，改革是解决生产力和生产关系、经济基础和上层建筑矛盾的基本方式，是推动深圳经济社会发展的强大动力。（2分）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40.（1）文化越来越成为民族凝聚力和创造力的重要源泉，（1分）越来越成为经济社会发展的重要支撑，（1分）越来越成为综合国力竞争的重要因素。（1分）建成北斗系统有利于提升我国综合国力、经济发展、增强民族自信心。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（2）①事物的发展总是从量变开始的，量变是质变的必要准备。中国北斗系统“三步走</w:t>
      </w:r>
      <w:r>
        <w:rPr>
          <w:rFonts w:hint="eastAsia"/>
          <w:lang w:eastAsia="zh-CN"/>
        </w:rPr>
        <w:t>”</w:t>
      </w:r>
      <w:r>
        <w:rPr>
          <w:rFonts w:hint="eastAsia"/>
        </w:rPr>
        <w:t>战略把我国卫星导航发展分成三个阶段,循序渐进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不断完善和发展；（2分）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②质变是量变的必然结果。北斗三号系统在北斗一号和二号的基础上，进一步提升性能、扩展功能，促成质变，实现事物的飞跃和发展</w:t>
      </w:r>
      <w:r>
        <w:rPr>
          <w:rFonts w:hint="eastAsia"/>
          <w:lang w:eastAsia="zh-CN"/>
        </w:rPr>
        <w:t>；</w:t>
      </w:r>
      <w:r>
        <w:rPr>
          <w:rFonts w:hint="eastAsia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③质变又为新的量变开辟道路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使事物在新质的基础上开始新的量变。“三步走”战略使北斗一号从无到有，实现零的突破，北斗二号在北斗一号基础上由中国到亚洲，北斗三号再在北斗二号的基础上，进</w:t>
      </w:r>
      <w:r>
        <w:rPr>
          <w:rFonts w:hint="eastAsia"/>
          <w:lang w:eastAsia="zh-CN"/>
        </w:rPr>
        <w:t>一</w:t>
      </w:r>
      <w:r>
        <w:rPr>
          <w:rFonts w:hint="eastAsia"/>
        </w:rPr>
        <w:t>步提升性能、扩展功能，面向全球，直至最终成功。(2分)</w:t>
      </w:r>
    </w:p>
    <w:p>
      <w:pPr>
        <w:pStyle w:val="2"/>
        <w:wordWrap/>
        <w:spacing w:beforeAutospacing="0" w:afterAutospacing="0" w:line="360" w:lineRule="auto"/>
      </w:pPr>
    </w:p>
    <w:sectPr>
      <w:pgSz w:w="11907" w:h="16840"/>
      <w:pgMar w:top="1418" w:right="1418" w:bottom="1418" w:left="1418" w:header="851" w:footer="992" w:gutter="0"/>
      <w:lnNumType w:countBy="0" w:restart="continuous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D1"/>
    <w:rsid w:val="00012D92"/>
    <w:rsid w:val="00021E93"/>
    <w:rsid w:val="00037856"/>
    <w:rsid w:val="000607DA"/>
    <w:rsid w:val="000672CE"/>
    <w:rsid w:val="000D680A"/>
    <w:rsid w:val="000D7BD1"/>
    <w:rsid w:val="000E789D"/>
    <w:rsid w:val="00153BB7"/>
    <w:rsid w:val="0016231F"/>
    <w:rsid w:val="00175776"/>
    <w:rsid w:val="002B15D5"/>
    <w:rsid w:val="002B5EEE"/>
    <w:rsid w:val="002E61A7"/>
    <w:rsid w:val="002F234E"/>
    <w:rsid w:val="00345AD6"/>
    <w:rsid w:val="003469DA"/>
    <w:rsid w:val="003B5769"/>
    <w:rsid w:val="00417661"/>
    <w:rsid w:val="0045333C"/>
    <w:rsid w:val="0046639F"/>
    <w:rsid w:val="005020B5"/>
    <w:rsid w:val="005104DD"/>
    <w:rsid w:val="005114A9"/>
    <w:rsid w:val="00542577"/>
    <w:rsid w:val="0054389D"/>
    <w:rsid w:val="00551058"/>
    <w:rsid w:val="0055208C"/>
    <w:rsid w:val="005B5557"/>
    <w:rsid w:val="005D5F26"/>
    <w:rsid w:val="00622F3F"/>
    <w:rsid w:val="00626C52"/>
    <w:rsid w:val="00642091"/>
    <w:rsid w:val="00676CBF"/>
    <w:rsid w:val="00683A36"/>
    <w:rsid w:val="006C3DAC"/>
    <w:rsid w:val="007104D0"/>
    <w:rsid w:val="0072414C"/>
    <w:rsid w:val="00757B0A"/>
    <w:rsid w:val="0077562F"/>
    <w:rsid w:val="007A74B0"/>
    <w:rsid w:val="00816AC5"/>
    <w:rsid w:val="00832386"/>
    <w:rsid w:val="00896FC8"/>
    <w:rsid w:val="008A732A"/>
    <w:rsid w:val="008D6F78"/>
    <w:rsid w:val="008E44FD"/>
    <w:rsid w:val="008F0D8C"/>
    <w:rsid w:val="009405B6"/>
    <w:rsid w:val="00946020"/>
    <w:rsid w:val="00993A37"/>
    <w:rsid w:val="009E1FD1"/>
    <w:rsid w:val="00A30BC3"/>
    <w:rsid w:val="00A61948"/>
    <w:rsid w:val="00A65897"/>
    <w:rsid w:val="00A779C3"/>
    <w:rsid w:val="00AB1893"/>
    <w:rsid w:val="00AB48C9"/>
    <w:rsid w:val="00AD0ABA"/>
    <w:rsid w:val="00B0264A"/>
    <w:rsid w:val="00B32F31"/>
    <w:rsid w:val="00B346C1"/>
    <w:rsid w:val="00B652BB"/>
    <w:rsid w:val="00BA0697"/>
    <w:rsid w:val="00BD4DF1"/>
    <w:rsid w:val="00C72D19"/>
    <w:rsid w:val="00CC4DEE"/>
    <w:rsid w:val="00D14CF8"/>
    <w:rsid w:val="00D90B93"/>
    <w:rsid w:val="00E02CE5"/>
    <w:rsid w:val="00E91014"/>
    <w:rsid w:val="00EC759F"/>
    <w:rsid w:val="00EE35F5"/>
    <w:rsid w:val="00F1015F"/>
    <w:rsid w:val="00F35AA1"/>
    <w:rsid w:val="00FB1F6B"/>
    <w:rsid w:val="00FC177C"/>
    <w:rsid w:val="00FC33AC"/>
    <w:rsid w:val="00FD33DB"/>
    <w:rsid w:val="016B4EDC"/>
    <w:rsid w:val="01D55C9A"/>
    <w:rsid w:val="02804BF7"/>
    <w:rsid w:val="028730FC"/>
    <w:rsid w:val="0288329D"/>
    <w:rsid w:val="02BB6054"/>
    <w:rsid w:val="03777A2F"/>
    <w:rsid w:val="04661CA4"/>
    <w:rsid w:val="04AB7905"/>
    <w:rsid w:val="04F81BAC"/>
    <w:rsid w:val="05096F3A"/>
    <w:rsid w:val="05446541"/>
    <w:rsid w:val="05C431A4"/>
    <w:rsid w:val="06325F1E"/>
    <w:rsid w:val="06604FD0"/>
    <w:rsid w:val="066E0C9E"/>
    <w:rsid w:val="06E736D5"/>
    <w:rsid w:val="073724C1"/>
    <w:rsid w:val="08396760"/>
    <w:rsid w:val="08735975"/>
    <w:rsid w:val="08C04EFD"/>
    <w:rsid w:val="08FA7F6F"/>
    <w:rsid w:val="0978030E"/>
    <w:rsid w:val="0A826DE4"/>
    <w:rsid w:val="0BC618F7"/>
    <w:rsid w:val="0BC84700"/>
    <w:rsid w:val="0C5724B3"/>
    <w:rsid w:val="0C760657"/>
    <w:rsid w:val="0C903669"/>
    <w:rsid w:val="0D627022"/>
    <w:rsid w:val="0D9F2170"/>
    <w:rsid w:val="0E0C20BE"/>
    <w:rsid w:val="0E4E3FA4"/>
    <w:rsid w:val="0EB52EF1"/>
    <w:rsid w:val="0EF54AE9"/>
    <w:rsid w:val="0F7D62F9"/>
    <w:rsid w:val="0F896B74"/>
    <w:rsid w:val="0FA767C2"/>
    <w:rsid w:val="10236E59"/>
    <w:rsid w:val="104B6AF2"/>
    <w:rsid w:val="104E67EC"/>
    <w:rsid w:val="10594F5B"/>
    <w:rsid w:val="10D52896"/>
    <w:rsid w:val="111A1092"/>
    <w:rsid w:val="114C49E7"/>
    <w:rsid w:val="11B56379"/>
    <w:rsid w:val="12A81A9D"/>
    <w:rsid w:val="12BF6D03"/>
    <w:rsid w:val="133E68F7"/>
    <w:rsid w:val="13CA1CB4"/>
    <w:rsid w:val="13D7476D"/>
    <w:rsid w:val="14D10945"/>
    <w:rsid w:val="15C40F95"/>
    <w:rsid w:val="16452BB8"/>
    <w:rsid w:val="1692101F"/>
    <w:rsid w:val="169E26C5"/>
    <w:rsid w:val="16A22CA0"/>
    <w:rsid w:val="16FC348A"/>
    <w:rsid w:val="180866E5"/>
    <w:rsid w:val="18C02B70"/>
    <w:rsid w:val="18EF06C3"/>
    <w:rsid w:val="18FE7A0F"/>
    <w:rsid w:val="194C01D9"/>
    <w:rsid w:val="19977C48"/>
    <w:rsid w:val="19AB43D8"/>
    <w:rsid w:val="19D31059"/>
    <w:rsid w:val="19E80AAF"/>
    <w:rsid w:val="1A0B7A9D"/>
    <w:rsid w:val="1A350679"/>
    <w:rsid w:val="1A8241E0"/>
    <w:rsid w:val="1AAF7AC3"/>
    <w:rsid w:val="1AAF7D90"/>
    <w:rsid w:val="1AD97E42"/>
    <w:rsid w:val="1BBE4674"/>
    <w:rsid w:val="1C3664CA"/>
    <w:rsid w:val="1C487C2C"/>
    <w:rsid w:val="1C956CD7"/>
    <w:rsid w:val="1DAD090A"/>
    <w:rsid w:val="1DDB4A73"/>
    <w:rsid w:val="1DEE0E13"/>
    <w:rsid w:val="1DEF3BBA"/>
    <w:rsid w:val="1E2A7280"/>
    <w:rsid w:val="1E371D0E"/>
    <w:rsid w:val="1E9931E7"/>
    <w:rsid w:val="1EC85B59"/>
    <w:rsid w:val="1EEA14B0"/>
    <w:rsid w:val="1EEF0C02"/>
    <w:rsid w:val="1EFC5867"/>
    <w:rsid w:val="1F3E46B7"/>
    <w:rsid w:val="20C44066"/>
    <w:rsid w:val="21B6073C"/>
    <w:rsid w:val="21C71DD2"/>
    <w:rsid w:val="21F87997"/>
    <w:rsid w:val="22843EF2"/>
    <w:rsid w:val="229D1E73"/>
    <w:rsid w:val="22B842E8"/>
    <w:rsid w:val="23424134"/>
    <w:rsid w:val="237F1790"/>
    <w:rsid w:val="239254BB"/>
    <w:rsid w:val="242253BA"/>
    <w:rsid w:val="246A49AD"/>
    <w:rsid w:val="249C321F"/>
    <w:rsid w:val="24E448E3"/>
    <w:rsid w:val="24E71ABE"/>
    <w:rsid w:val="24FC426A"/>
    <w:rsid w:val="25232F2E"/>
    <w:rsid w:val="254E48ED"/>
    <w:rsid w:val="270D148E"/>
    <w:rsid w:val="271B0D8C"/>
    <w:rsid w:val="282A30A9"/>
    <w:rsid w:val="28526355"/>
    <w:rsid w:val="28BC098F"/>
    <w:rsid w:val="28BD34D5"/>
    <w:rsid w:val="28C046B7"/>
    <w:rsid w:val="298F43C3"/>
    <w:rsid w:val="299C0138"/>
    <w:rsid w:val="2B0D27B9"/>
    <w:rsid w:val="2B45449A"/>
    <w:rsid w:val="2B6058EF"/>
    <w:rsid w:val="2B8B5ADC"/>
    <w:rsid w:val="2BDB7FCC"/>
    <w:rsid w:val="2BEE14A4"/>
    <w:rsid w:val="2BFC01B7"/>
    <w:rsid w:val="2D031905"/>
    <w:rsid w:val="2D386EF0"/>
    <w:rsid w:val="2EBE36A5"/>
    <w:rsid w:val="2F291315"/>
    <w:rsid w:val="2F824E6F"/>
    <w:rsid w:val="2FB40163"/>
    <w:rsid w:val="302852F1"/>
    <w:rsid w:val="30352DD3"/>
    <w:rsid w:val="308E2046"/>
    <w:rsid w:val="30E95743"/>
    <w:rsid w:val="314B6B09"/>
    <w:rsid w:val="319C1D29"/>
    <w:rsid w:val="31AF749E"/>
    <w:rsid w:val="31BE0AC2"/>
    <w:rsid w:val="31BF3034"/>
    <w:rsid w:val="31D86CE9"/>
    <w:rsid w:val="31F52EF0"/>
    <w:rsid w:val="3213483F"/>
    <w:rsid w:val="321E6ED6"/>
    <w:rsid w:val="32662EDA"/>
    <w:rsid w:val="32676089"/>
    <w:rsid w:val="332D3F16"/>
    <w:rsid w:val="337B7FE7"/>
    <w:rsid w:val="339A1A52"/>
    <w:rsid w:val="359A21D0"/>
    <w:rsid w:val="35AE2178"/>
    <w:rsid w:val="363735EC"/>
    <w:rsid w:val="37185823"/>
    <w:rsid w:val="376646BD"/>
    <w:rsid w:val="37D34428"/>
    <w:rsid w:val="3854637B"/>
    <w:rsid w:val="38CC59E7"/>
    <w:rsid w:val="393D0A9B"/>
    <w:rsid w:val="3A087ED9"/>
    <w:rsid w:val="3A8C717E"/>
    <w:rsid w:val="3A8F286D"/>
    <w:rsid w:val="3AF43CE8"/>
    <w:rsid w:val="3BA678E2"/>
    <w:rsid w:val="3BB37FCB"/>
    <w:rsid w:val="3CA73B05"/>
    <w:rsid w:val="3D410DA7"/>
    <w:rsid w:val="3DC26BAE"/>
    <w:rsid w:val="3DD113D8"/>
    <w:rsid w:val="3DF8412B"/>
    <w:rsid w:val="3E5D247A"/>
    <w:rsid w:val="3E756543"/>
    <w:rsid w:val="3E7C695B"/>
    <w:rsid w:val="3E8E08E7"/>
    <w:rsid w:val="3EA74864"/>
    <w:rsid w:val="3EC2048A"/>
    <w:rsid w:val="3F0264EF"/>
    <w:rsid w:val="3F4D5C4E"/>
    <w:rsid w:val="3F9E43E9"/>
    <w:rsid w:val="3FBD1A7E"/>
    <w:rsid w:val="401B40B4"/>
    <w:rsid w:val="403618D5"/>
    <w:rsid w:val="40BE7759"/>
    <w:rsid w:val="40F012A2"/>
    <w:rsid w:val="42114D18"/>
    <w:rsid w:val="429547C3"/>
    <w:rsid w:val="42C725F3"/>
    <w:rsid w:val="42CB50E7"/>
    <w:rsid w:val="43655DC1"/>
    <w:rsid w:val="43665F28"/>
    <w:rsid w:val="44030855"/>
    <w:rsid w:val="45A05A32"/>
    <w:rsid w:val="464E5C3B"/>
    <w:rsid w:val="468979EE"/>
    <w:rsid w:val="469B154A"/>
    <w:rsid w:val="46C3541C"/>
    <w:rsid w:val="46EE2026"/>
    <w:rsid w:val="47D04204"/>
    <w:rsid w:val="48295D62"/>
    <w:rsid w:val="48672895"/>
    <w:rsid w:val="48C61E15"/>
    <w:rsid w:val="48EB2950"/>
    <w:rsid w:val="49891494"/>
    <w:rsid w:val="4A5B3574"/>
    <w:rsid w:val="4B9E3897"/>
    <w:rsid w:val="4BE102C3"/>
    <w:rsid w:val="4BFA0C4F"/>
    <w:rsid w:val="4CCC2BFA"/>
    <w:rsid w:val="4CEF501C"/>
    <w:rsid w:val="4CFE56F2"/>
    <w:rsid w:val="4D054B78"/>
    <w:rsid w:val="4D0B6DBA"/>
    <w:rsid w:val="4D8A63E8"/>
    <w:rsid w:val="4DA75155"/>
    <w:rsid w:val="4DDA321D"/>
    <w:rsid w:val="4ECE11AC"/>
    <w:rsid w:val="4EF715BB"/>
    <w:rsid w:val="4F31145C"/>
    <w:rsid w:val="4F877648"/>
    <w:rsid w:val="4F9B657B"/>
    <w:rsid w:val="4FF84C20"/>
    <w:rsid w:val="507822D6"/>
    <w:rsid w:val="5165584D"/>
    <w:rsid w:val="51702136"/>
    <w:rsid w:val="51992CED"/>
    <w:rsid w:val="51B21476"/>
    <w:rsid w:val="534E56C4"/>
    <w:rsid w:val="5367626A"/>
    <w:rsid w:val="536C5BE9"/>
    <w:rsid w:val="53AB175B"/>
    <w:rsid w:val="545F4FD0"/>
    <w:rsid w:val="54665E7C"/>
    <w:rsid w:val="54901F47"/>
    <w:rsid w:val="552413AF"/>
    <w:rsid w:val="55A528D6"/>
    <w:rsid w:val="55B97975"/>
    <w:rsid w:val="55F178BD"/>
    <w:rsid w:val="56281CC4"/>
    <w:rsid w:val="564B78E1"/>
    <w:rsid w:val="565B5D75"/>
    <w:rsid w:val="56784143"/>
    <w:rsid w:val="57032B5C"/>
    <w:rsid w:val="57525CED"/>
    <w:rsid w:val="576D348B"/>
    <w:rsid w:val="57BE3F0D"/>
    <w:rsid w:val="57DA4941"/>
    <w:rsid w:val="57F07A5B"/>
    <w:rsid w:val="582578C2"/>
    <w:rsid w:val="58EF44E1"/>
    <w:rsid w:val="59A85377"/>
    <w:rsid w:val="5AC42B54"/>
    <w:rsid w:val="5ADF564F"/>
    <w:rsid w:val="5AF219EE"/>
    <w:rsid w:val="5BA87DD8"/>
    <w:rsid w:val="5BC8185E"/>
    <w:rsid w:val="5C6D56BD"/>
    <w:rsid w:val="5CCB73AF"/>
    <w:rsid w:val="5CE15AC8"/>
    <w:rsid w:val="5CF96567"/>
    <w:rsid w:val="5DC656FC"/>
    <w:rsid w:val="5E1E751D"/>
    <w:rsid w:val="5E512DED"/>
    <w:rsid w:val="5E6B59D5"/>
    <w:rsid w:val="5F833A55"/>
    <w:rsid w:val="5FCF079A"/>
    <w:rsid w:val="5FF92301"/>
    <w:rsid w:val="608758D1"/>
    <w:rsid w:val="609F7A12"/>
    <w:rsid w:val="60BC58AE"/>
    <w:rsid w:val="60E879F2"/>
    <w:rsid w:val="60EA30B6"/>
    <w:rsid w:val="61521E4A"/>
    <w:rsid w:val="61993561"/>
    <w:rsid w:val="61B66D83"/>
    <w:rsid w:val="61D40D42"/>
    <w:rsid w:val="62BF7F56"/>
    <w:rsid w:val="62C52B1D"/>
    <w:rsid w:val="62F51E1D"/>
    <w:rsid w:val="633D5491"/>
    <w:rsid w:val="6386235F"/>
    <w:rsid w:val="639F5CA1"/>
    <w:rsid w:val="64282B93"/>
    <w:rsid w:val="643813BC"/>
    <w:rsid w:val="64883932"/>
    <w:rsid w:val="64B8626B"/>
    <w:rsid w:val="64D56ED1"/>
    <w:rsid w:val="64D60B04"/>
    <w:rsid w:val="65CB3CDC"/>
    <w:rsid w:val="661A005E"/>
    <w:rsid w:val="661C4E97"/>
    <w:rsid w:val="66463E04"/>
    <w:rsid w:val="669020D6"/>
    <w:rsid w:val="674D3D12"/>
    <w:rsid w:val="677F7EAD"/>
    <w:rsid w:val="678B49EC"/>
    <w:rsid w:val="68071676"/>
    <w:rsid w:val="681525D2"/>
    <w:rsid w:val="68382728"/>
    <w:rsid w:val="68B07456"/>
    <w:rsid w:val="69002D99"/>
    <w:rsid w:val="690A5215"/>
    <w:rsid w:val="693C1A09"/>
    <w:rsid w:val="69C53973"/>
    <w:rsid w:val="6A357B5E"/>
    <w:rsid w:val="6A513931"/>
    <w:rsid w:val="6AAF55C1"/>
    <w:rsid w:val="6AB43562"/>
    <w:rsid w:val="6B40582F"/>
    <w:rsid w:val="6B7E1A0F"/>
    <w:rsid w:val="6BB74505"/>
    <w:rsid w:val="6C026FBE"/>
    <w:rsid w:val="6C453F30"/>
    <w:rsid w:val="6C7466D7"/>
    <w:rsid w:val="6CAF0286"/>
    <w:rsid w:val="6D1D2AA2"/>
    <w:rsid w:val="6E0E32D1"/>
    <w:rsid w:val="6EB145B8"/>
    <w:rsid w:val="6ECF1EF2"/>
    <w:rsid w:val="6EEE27F8"/>
    <w:rsid w:val="6F123FDB"/>
    <w:rsid w:val="70044BE0"/>
    <w:rsid w:val="70085B8B"/>
    <w:rsid w:val="700B7094"/>
    <w:rsid w:val="700E412F"/>
    <w:rsid w:val="701B4CA6"/>
    <w:rsid w:val="7033702E"/>
    <w:rsid w:val="70344BA7"/>
    <w:rsid w:val="70CA213F"/>
    <w:rsid w:val="724559D6"/>
    <w:rsid w:val="72C45F7A"/>
    <w:rsid w:val="746876A9"/>
    <w:rsid w:val="748054E9"/>
    <w:rsid w:val="749D73C3"/>
    <w:rsid w:val="74F75361"/>
    <w:rsid w:val="753F1B4E"/>
    <w:rsid w:val="761627D6"/>
    <w:rsid w:val="761E2EF1"/>
    <w:rsid w:val="766C4FC9"/>
    <w:rsid w:val="767A1A8F"/>
    <w:rsid w:val="769E7578"/>
    <w:rsid w:val="770E3DED"/>
    <w:rsid w:val="77F3549B"/>
    <w:rsid w:val="782A2B1A"/>
    <w:rsid w:val="784D3A31"/>
    <w:rsid w:val="78855FA7"/>
    <w:rsid w:val="78B53A04"/>
    <w:rsid w:val="78B90E60"/>
    <w:rsid w:val="78FF369E"/>
    <w:rsid w:val="79043940"/>
    <w:rsid w:val="79102D63"/>
    <w:rsid w:val="79430053"/>
    <w:rsid w:val="794D4B35"/>
    <w:rsid w:val="798C3896"/>
    <w:rsid w:val="7991347A"/>
    <w:rsid w:val="7A123CF6"/>
    <w:rsid w:val="7C397E22"/>
    <w:rsid w:val="7C796424"/>
    <w:rsid w:val="7CE90A35"/>
    <w:rsid w:val="7D3433D5"/>
    <w:rsid w:val="7D4D0D35"/>
    <w:rsid w:val="7E264364"/>
    <w:rsid w:val="7EED01BA"/>
    <w:rsid w:val="7F45601C"/>
    <w:rsid w:val="7FC66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31"/>
    </w:pPr>
    <w:rPr>
      <w:szCs w:val="21"/>
    </w:rPr>
  </w:style>
  <w:style w:type="paragraph" w:styleId="4">
    <w:name w:val="Balloon Text"/>
    <w:basedOn w:val="1"/>
    <w:link w:val="2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771CAA"/>
      <w:u w:val="single"/>
    </w:rPr>
  </w:style>
  <w:style w:type="character" w:styleId="13">
    <w:name w:val="Emphasis"/>
    <w:basedOn w:val="10"/>
    <w:qFormat/>
    <w:uiPriority w:val="20"/>
    <w:rPr>
      <w:color w:val="F73131"/>
    </w:rPr>
  </w:style>
  <w:style w:type="character" w:styleId="14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styleId="15">
    <w:name w:val="HTML Cite"/>
    <w:basedOn w:val="10"/>
    <w:semiHidden/>
    <w:unhideWhenUsed/>
    <w:qFormat/>
    <w:uiPriority w:val="99"/>
    <w:rPr>
      <w:color w:val="008000"/>
    </w:rPr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纯文本_0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hover24"/>
    <w:basedOn w:val="10"/>
    <w:qFormat/>
    <w:uiPriority w:val="0"/>
  </w:style>
  <w:style w:type="character" w:customStyle="1" w:styleId="21">
    <w:name w:val="hover25"/>
    <w:basedOn w:val="10"/>
    <w:qFormat/>
    <w:uiPriority w:val="0"/>
    <w:rPr>
      <w:color w:val="315EFB"/>
    </w:rPr>
  </w:style>
  <w:style w:type="character" w:customStyle="1" w:styleId="22">
    <w:name w:val="c-icon28"/>
    <w:basedOn w:val="10"/>
    <w:qFormat/>
    <w:uiPriority w:val="0"/>
  </w:style>
  <w:style w:type="character" w:customStyle="1" w:styleId="23">
    <w:name w:val="15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24">
    <w:name w:val="10"/>
    <w:basedOn w:val="10"/>
    <w:qFormat/>
    <w:uiPriority w:val="0"/>
    <w:rPr>
      <w:rFonts w:hint="default" w:ascii="Times New Roman" w:hAnsi="Times New Roman" w:cs="Times New Roman"/>
    </w:rPr>
  </w:style>
  <w:style w:type="paragraph" w:customStyle="1" w:styleId="25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1"/>
    <w:qFormat/>
    <w:uiPriority w:val="0"/>
    <w:pPr>
      <w:spacing w:after="200" w:line="312" w:lineRule="auto"/>
      <w:ind w:firstLine="300" w:firstLineChars="300"/>
    </w:pPr>
    <w:rPr>
      <w:rFonts w:ascii="Times New Roman" w:hAnsi="Times New Roman" w:eastAsia="宋体" w:cs="Times New Roman"/>
      <w:szCs w:val="21"/>
      <w:lang w:val="en-US" w:eastAsia="zh-CN" w:bidi="ar-SA"/>
    </w:rPr>
  </w:style>
  <w:style w:type="character" w:customStyle="1" w:styleId="27">
    <w:name w:val="批注框文本 Char"/>
    <w:basedOn w:val="10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B50298-0A8A-4C8F-BBC8-E970213FF0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7570</Words>
  <Characters>7916</Characters>
  <Lines>49</Lines>
  <Paragraphs>14</Paragraphs>
  <TotalTime>0</TotalTime>
  <ScaleCrop>false</ScaleCrop>
  <LinksUpToDate>false</LinksUpToDate>
  <CharactersWithSpaces>8469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25</cp:revision>
  <cp:lastPrinted>2021-01-06T13:45:00Z</cp:lastPrinted>
  <dcterms:created xsi:type="dcterms:W3CDTF">2020-11-01T11:56:00Z</dcterms:created>
  <dcterms:modified xsi:type="dcterms:W3CDTF">2021-03-18T06:24:04Z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