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360" w:lineRule="auto"/>
        <w:jc w:val="center"/>
        <w:rPr>
          <w:rFonts w:asciiTheme="majorEastAsia" w:hAnsiTheme="majorEastAsia" w:eastAsiaTheme="majorEastAsia" w:cstheme="majorEastAsia"/>
          <w:b/>
          <w:bCs/>
          <w:color w:val="000000"/>
          <w:kern w:val="0"/>
          <w:sz w:val="28"/>
          <w:szCs w:val="28"/>
        </w:rPr>
      </w:pPr>
      <w:r>
        <w:rPr>
          <w:rFonts w:hint="eastAsia" w:asciiTheme="majorEastAsia" w:hAnsiTheme="majorEastAsia" w:eastAsiaTheme="majorEastAsia" w:cstheme="majorEastAsia"/>
          <w:b/>
          <w:bCs/>
          <w:color w:val="000000"/>
          <w:kern w:val="0"/>
          <w:sz w:val="28"/>
          <w:szCs w:val="28"/>
        </w:rPr>
        <w:t xml:space="preserve">南昌十中2020－2021学年下学期第一次月考 </w:t>
      </w:r>
    </w:p>
    <w:p>
      <w:pPr>
        <w:widowControl/>
        <w:shd w:val="clear" w:color="auto" w:fill="FFFFFF"/>
        <w:spacing w:line="360" w:lineRule="auto"/>
        <w:jc w:val="center"/>
        <w:rPr>
          <w:rFonts w:asciiTheme="majorEastAsia" w:hAnsiTheme="majorEastAsia" w:eastAsiaTheme="majorEastAsia" w:cstheme="majorEastAsia"/>
          <w:bCs/>
          <w:color w:val="000000"/>
          <w:kern w:val="0"/>
          <w:szCs w:val="21"/>
        </w:rPr>
      </w:pPr>
      <w:r>
        <w:rPr>
          <w:rFonts w:hint="eastAsia" w:ascii="黑体" w:hAnsi="黑体" w:eastAsia="黑体" w:cs="黑体"/>
          <w:bCs/>
          <w:color w:val="000000"/>
          <w:kern w:val="0"/>
          <w:sz w:val="32"/>
          <w:szCs w:val="32"/>
        </w:rPr>
        <w:t xml:space="preserve"> 高一地理试题</w:t>
      </w:r>
      <w:r>
        <w:rPr>
          <w:rFonts w:hint="eastAsia" w:asciiTheme="majorEastAsia" w:hAnsiTheme="majorEastAsia" w:eastAsiaTheme="majorEastAsia" w:cstheme="majorEastAsia"/>
          <w:bCs/>
          <w:color w:val="000000"/>
          <w:kern w:val="0"/>
          <w:szCs w:val="21"/>
        </w:rPr>
        <w:t xml:space="preserve">    </w:t>
      </w:r>
    </w:p>
    <w:p>
      <w:pPr>
        <w:widowControl/>
        <w:shd w:val="clear" w:color="auto" w:fill="FFFFFF"/>
        <w:spacing w:line="360" w:lineRule="auto"/>
        <w:jc w:val="center"/>
        <w:rPr>
          <w:rFonts w:asciiTheme="majorEastAsia" w:hAnsiTheme="majorEastAsia" w:eastAsiaTheme="majorEastAsia" w:cstheme="majorEastAsia"/>
          <w:bCs/>
          <w:color w:val="000000"/>
          <w:kern w:val="0"/>
          <w:szCs w:val="21"/>
        </w:rPr>
      </w:pPr>
      <w:r>
        <w:rPr>
          <w:rFonts w:hint="eastAsia" w:asciiTheme="majorEastAsia" w:hAnsiTheme="majorEastAsia" w:eastAsiaTheme="majorEastAsia" w:cstheme="majorEastAsia"/>
          <w:bCs/>
          <w:color w:val="000000"/>
          <w:kern w:val="0"/>
          <w:szCs w:val="21"/>
        </w:rPr>
        <w:t xml:space="preserve"> </w:t>
      </w:r>
    </w:p>
    <w:p>
      <w:pPr>
        <w:widowControl/>
        <w:shd w:val="clear" w:color="auto" w:fill="FFFFFF"/>
        <w:spacing w:line="360" w:lineRule="auto"/>
        <w:ind w:firstLine="551"/>
        <w:jc w:val="left"/>
        <w:rPr>
          <w:rFonts w:ascii="黑体" w:hAnsi="黑体" w:eastAsia="黑体" w:cs="黑体"/>
          <w:color w:val="000000"/>
          <w:kern w:val="0"/>
          <w:sz w:val="24"/>
        </w:rPr>
      </w:pPr>
      <w:r>
        <w:rPr>
          <w:rFonts w:hint="eastAsia" w:ascii="黑体" w:hAnsi="黑体" w:eastAsia="黑体" w:cs="黑体"/>
          <w:bCs/>
          <w:color w:val="000000"/>
          <w:kern w:val="0"/>
          <w:sz w:val="24"/>
        </w:rPr>
        <w:t>说明：本试卷分第I卷(选择题)和第Ⅱ卷(非选择题)两部分，全卷满分</w:t>
      </w:r>
      <w:r>
        <w:rPr>
          <w:rFonts w:hint="eastAsia" w:ascii="黑体" w:hAnsi="黑体" w:eastAsia="黑体" w:cs="黑体"/>
          <w:color w:val="000000"/>
          <w:sz w:val="24"/>
          <w:shd w:val="clear" w:color="auto" w:fill="FFFFFF"/>
        </w:rPr>
        <w:t>100</w:t>
      </w:r>
      <w:r>
        <w:rPr>
          <w:rFonts w:hint="eastAsia" w:ascii="黑体" w:hAnsi="黑体" w:eastAsia="黑体" w:cs="黑体"/>
          <w:bCs/>
          <w:color w:val="000000"/>
          <w:kern w:val="0"/>
          <w:sz w:val="24"/>
        </w:rPr>
        <w:t>分。考试用时</w:t>
      </w:r>
      <w:r>
        <w:rPr>
          <w:rFonts w:hint="eastAsia" w:ascii="黑体" w:hAnsi="黑体" w:eastAsia="黑体" w:cs="黑体"/>
          <w:color w:val="000000"/>
          <w:sz w:val="24"/>
          <w:shd w:val="clear" w:color="auto" w:fill="FFFFFF"/>
        </w:rPr>
        <w:t>100</w:t>
      </w:r>
      <w:r>
        <w:rPr>
          <w:rFonts w:hint="eastAsia" w:ascii="黑体" w:hAnsi="黑体" w:eastAsia="黑体" w:cs="黑体"/>
          <w:bCs/>
          <w:color w:val="000000"/>
          <w:kern w:val="0"/>
          <w:sz w:val="24"/>
        </w:rPr>
        <w:t>分钟</w:t>
      </w:r>
    </w:p>
    <w:p>
      <w:pPr>
        <w:widowControl/>
        <w:shd w:val="clear" w:color="auto" w:fill="FFFFFF"/>
        <w:spacing w:line="360" w:lineRule="auto"/>
        <w:ind w:firstLine="551"/>
        <w:jc w:val="left"/>
        <w:rPr>
          <w:rFonts w:ascii="黑体" w:hAnsi="黑体" w:eastAsia="黑体" w:cs="黑体"/>
          <w:bCs/>
          <w:color w:val="000000"/>
          <w:kern w:val="0"/>
          <w:szCs w:val="21"/>
        </w:rPr>
      </w:pPr>
      <w:r>
        <w:rPr>
          <w:rFonts w:hint="eastAsia" w:ascii="黑体" w:hAnsi="黑体" w:eastAsia="黑体" w:cs="黑体"/>
          <w:bCs/>
          <w:color w:val="000000"/>
          <w:kern w:val="0"/>
          <w:szCs w:val="21"/>
        </w:rPr>
        <w:t xml:space="preserve">注 意 事 项： </w:t>
      </w:r>
    </w:p>
    <w:p>
      <w:pPr>
        <w:widowControl/>
        <w:shd w:val="clear" w:color="auto" w:fill="FFFFFF"/>
        <w:spacing w:line="360" w:lineRule="auto"/>
        <w:ind w:firstLine="551"/>
        <w:jc w:val="left"/>
        <w:rPr>
          <w:rFonts w:ascii="黑体" w:hAnsi="黑体" w:eastAsia="黑体" w:cs="黑体"/>
          <w:color w:val="000000"/>
          <w:kern w:val="0"/>
          <w:szCs w:val="21"/>
        </w:rPr>
      </w:pPr>
      <w:r>
        <w:rPr>
          <w:rFonts w:hint="eastAsia" w:ascii="黑体" w:hAnsi="黑体" w:eastAsia="黑体" w:cs="黑体"/>
          <w:bCs/>
          <w:color w:val="000000"/>
          <w:kern w:val="0"/>
          <w:szCs w:val="21"/>
        </w:rPr>
        <w:t>考生在答题前请认真阅读本注意事项及各题答题要求。</w:t>
      </w:r>
    </w:p>
    <w:p>
      <w:pPr>
        <w:widowControl/>
        <w:shd w:val="clear" w:color="auto" w:fill="FFFFFF"/>
        <w:spacing w:line="360" w:lineRule="auto"/>
        <w:ind w:firstLine="426"/>
        <w:jc w:val="left"/>
        <w:rPr>
          <w:rFonts w:ascii="黑体" w:hAnsi="黑体" w:eastAsia="黑体" w:cs="黑体"/>
          <w:color w:val="000000"/>
          <w:kern w:val="0"/>
          <w:szCs w:val="21"/>
        </w:rPr>
      </w:pPr>
      <w:r>
        <w:rPr>
          <w:rFonts w:hint="eastAsia" w:ascii="黑体" w:hAnsi="黑体" w:eastAsia="黑体" w:cs="黑体"/>
          <w:bCs/>
          <w:color w:val="000000"/>
          <w:kern w:val="0"/>
          <w:szCs w:val="21"/>
        </w:rPr>
        <w:t>1．答题前，请您务必将自己的姓名、准考证号或IS号用书写黑色字迹的0．5毫米签字笔填写在答题卡和答题纸上。</w:t>
      </w:r>
    </w:p>
    <w:p>
      <w:pPr>
        <w:widowControl/>
        <w:shd w:val="clear" w:color="auto" w:fill="FFFFFF"/>
        <w:spacing w:line="360" w:lineRule="auto"/>
        <w:ind w:firstLine="426"/>
        <w:jc w:val="left"/>
        <w:rPr>
          <w:rFonts w:ascii="黑体" w:hAnsi="黑体" w:eastAsia="黑体" w:cs="黑体"/>
          <w:color w:val="000000"/>
          <w:kern w:val="0"/>
          <w:szCs w:val="21"/>
        </w:rPr>
      </w:pPr>
      <w:r>
        <w:rPr>
          <w:rFonts w:hint="eastAsia" w:ascii="黑体" w:hAnsi="黑体" w:eastAsia="黑体" w:cs="黑体"/>
          <w:bCs/>
          <w:color w:val="000000"/>
          <w:kern w:val="0"/>
          <w:szCs w:val="21"/>
        </w:rPr>
        <w:t>2．作答非选择题必须用书写黑色字迹的0．5毫米签字笔写在答题纸上的指定位置，在其它位置作答一律无效。作答选择题必须用2B铅笔把答题卡上对应题目的答案标号涂黑。如需改动，请用橡皮擦干净后，再选涂其它答案，请保持卡面清洁和答题纸清洁，不折叠、不破损。</w:t>
      </w:r>
    </w:p>
    <w:p>
      <w:pPr>
        <w:spacing w:line="360" w:lineRule="auto"/>
        <w:ind w:firstLine="424" w:firstLineChars="202"/>
        <w:rPr>
          <w:rFonts w:ascii="黑体" w:hAnsi="黑体" w:eastAsia="黑体" w:cs="黑体"/>
          <w:szCs w:val="21"/>
        </w:rPr>
      </w:pPr>
      <w:r>
        <w:rPr>
          <w:rFonts w:hint="eastAsia" w:ascii="黑体" w:hAnsi="黑体" w:eastAsia="黑体" w:cs="黑体"/>
          <w:bCs/>
          <w:color w:val="000000"/>
          <w:kern w:val="0"/>
          <w:szCs w:val="21"/>
        </w:rPr>
        <w:t>3．考试结束后，请将答题纸交回。</w:t>
      </w:r>
    </w:p>
    <w:p>
      <w:pPr>
        <w:spacing w:line="360" w:lineRule="auto"/>
        <w:rPr>
          <w:rFonts w:asciiTheme="majorEastAsia" w:hAnsiTheme="majorEastAsia" w:eastAsiaTheme="majorEastAsia" w:cstheme="majorEastAsia"/>
          <w:szCs w:val="21"/>
        </w:rPr>
      </w:pPr>
      <w:r>
        <w:rPr>
          <w:rFonts w:hint="eastAsia" w:ascii="黑体" w:hAnsi="黑体" w:eastAsia="黑体" w:cstheme="majorEastAsia"/>
          <w:szCs w:val="21"/>
        </w:rPr>
        <w:t>一、选择题：</w:t>
      </w:r>
      <w:r>
        <w:rPr>
          <w:rFonts w:hint="eastAsia" w:asciiTheme="majorEastAsia" w:hAnsiTheme="majorEastAsia" w:eastAsiaTheme="majorEastAsia" w:cstheme="majorEastAsia"/>
          <w:szCs w:val="21"/>
        </w:rPr>
        <w:t>（本大题共25题，每小题2分，共计50分，在每小题列出的四个选项中只有一个选项是最符合题目要求的）</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2015</w:t>
      </w:r>
      <w:r>
        <w:rPr>
          <w:rFonts w:hint="eastAsia" w:asciiTheme="majorEastAsia" w:hAnsiTheme="majorEastAsia" w:eastAsiaTheme="majorEastAsia" w:cstheme="majorEastAsia"/>
        </w:rPr>
        <w:t>年云南花卉种植面积达</w:t>
      </w:r>
      <w:r>
        <w:rPr>
          <w:rFonts w:asciiTheme="majorEastAsia" w:hAnsiTheme="majorEastAsia" w:eastAsiaTheme="majorEastAsia" w:cstheme="majorEastAsia"/>
        </w:rPr>
        <w:t>7.3</w:t>
      </w:r>
      <w:r>
        <w:rPr>
          <w:rFonts w:hint="eastAsia" w:asciiTheme="majorEastAsia" w:hAnsiTheme="majorEastAsia" w:eastAsiaTheme="majorEastAsia" w:cstheme="majorEastAsia"/>
        </w:rPr>
        <w:t>万公顷，总产值超过</w:t>
      </w:r>
      <w:r>
        <w:rPr>
          <w:rFonts w:asciiTheme="majorEastAsia" w:hAnsiTheme="majorEastAsia" w:eastAsiaTheme="majorEastAsia" w:cstheme="majorEastAsia"/>
        </w:rPr>
        <w:t>400</w:t>
      </w:r>
      <w:r>
        <w:rPr>
          <w:rFonts w:hint="eastAsia" w:asciiTheme="majorEastAsia" w:hAnsiTheme="majorEastAsia" w:eastAsiaTheme="majorEastAsia" w:cstheme="majorEastAsia"/>
        </w:rPr>
        <w:t>亿元。云南凭借自身的优势条件和我国农业产业结构调整、西部大开发的时机，已逐渐发展为我国花卉产业带。据此，完成题。</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t>1.云南发展花卉产业的优越自然条件是</w:t>
      </w:r>
      <w:r>
        <w:rPr>
          <w:rFonts w:asciiTheme="majorEastAsia" w:hAnsiTheme="majorEastAsia" w:eastAsiaTheme="majorEastAsia" w:cstheme="majorEastAsia"/>
        </w:rPr>
        <w:t>(</w:t>
      </w:r>
      <w:r>
        <w:rPr>
          <w:rFonts w:hint="eastAsia" w:asciiTheme="majorEastAsia" w:hAnsiTheme="majorEastAsia" w:eastAsiaTheme="majorEastAsia" w:cstheme="majorEastAsia"/>
        </w:rPr>
        <w:t xml:space="preserve">     )</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A</w:t>
      </w:r>
      <w:r>
        <w:rPr>
          <w:rFonts w:hint="eastAsia" w:asciiTheme="majorEastAsia" w:hAnsiTheme="majorEastAsia" w:eastAsiaTheme="majorEastAsia" w:cstheme="majorEastAsia"/>
        </w:rPr>
        <w:t>．气候</w:t>
      </w:r>
      <w:r>
        <w:rPr>
          <w:rFonts w:hint="eastAsia" w:asciiTheme="majorEastAsia" w:hAnsiTheme="majorEastAsia" w:eastAsiaTheme="majorEastAsia" w:cstheme="majorEastAsia"/>
        </w:rPr>
        <w:tab/>
      </w:r>
      <w:r>
        <w:rPr>
          <w:rFonts w:asciiTheme="majorEastAsia" w:hAnsiTheme="majorEastAsia" w:eastAsiaTheme="majorEastAsia" w:cstheme="majorEastAsia"/>
        </w:rPr>
        <w:t>B</w:t>
      </w:r>
      <w:r>
        <w:rPr>
          <w:rFonts w:hint="eastAsia" w:asciiTheme="majorEastAsia" w:hAnsiTheme="majorEastAsia" w:eastAsiaTheme="majorEastAsia" w:cstheme="majorEastAsia"/>
        </w:rPr>
        <w:t>．地形</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C</w:t>
      </w:r>
      <w:r>
        <w:rPr>
          <w:rFonts w:hint="eastAsia" w:asciiTheme="majorEastAsia" w:hAnsiTheme="majorEastAsia" w:eastAsiaTheme="majorEastAsia" w:cstheme="majorEastAsia"/>
        </w:rPr>
        <w:t>．土壤</w:t>
      </w:r>
      <w:r>
        <w:rPr>
          <w:rFonts w:asciiTheme="majorEastAsia" w:hAnsiTheme="majorEastAsia" w:eastAsiaTheme="majorEastAsia" w:cstheme="majorEastAsia"/>
        </w:rPr>
        <w:t xml:space="preserve">  </w:t>
      </w:r>
      <w:r>
        <w:rPr>
          <w:rFonts w:hint="eastAsia" w:asciiTheme="majorEastAsia" w:hAnsiTheme="majorEastAsia" w:eastAsiaTheme="majorEastAsia" w:cstheme="majorEastAsia"/>
        </w:rPr>
        <w:tab/>
      </w:r>
      <w:r>
        <w:rPr>
          <w:rFonts w:asciiTheme="majorEastAsia" w:hAnsiTheme="majorEastAsia" w:eastAsiaTheme="majorEastAsia" w:cstheme="majorEastAsia"/>
        </w:rPr>
        <w:t>D</w:t>
      </w:r>
      <w:r>
        <w:rPr>
          <w:rFonts w:hint="eastAsia" w:asciiTheme="majorEastAsia" w:hAnsiTheme="majorEastAsia" w:eastAsiaTheme="majorEastAsia" w:cstheme="majorEastAsia"/>
        </w:rPr>
        <w:t>．生物多样性</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t>2.与世界主要花卉生产国相比，云南发展花卉产业的人文优势是</w:t>
      </w:r>
      <w:r>
        <w:rPr>
          <w:rFonts w:asciiTheme="majorEastAsia" w:hAnsiTheme="majorEastAsia" w:eastAsiaTheme="majorEastAsia" w:cstheme="majorEastAsia"/>
        </w:rPr>
        <w:t>(</w:t>
      </w:r>
      <w:r>
        <w:rPr>
          <w:rFonts w:hint="eastAsia" w:asciiTheme="majorEastAsia" w:hAnsiTheme="majorEastAsia" w:eastAsiaTheme="majorEastAsia" w:cstheme="majorEastAsia"/>
        </w:rPr>
        <w:t xml:space="preserve">    )</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A</w:t>
      </w:r>
      <w:r>
        <w:rPr>
          <w:rFonts w:hint="eastAsia" w:asciiTheme="majorEastAsia" w:hAnsiTheme="majorEastAsia" w:eastAsiaTheme="majorEastAsia" w:cstheme="majorEastAsia"/>
        </w:rPr>
        <w:t>．劳动力丰富</w:t>
      </w:r>
      <w:r>
        <w:rPr>
          <w:rFonts w:asciiTheme="majorEastAsia" w:hAnsiTheme="majorEastAsia" w:eastAsiaTheme="majorEastAsia" w:cstheme="majorEastAsia"/>
        </w:rPr>
        <w:t xml:space="preserve">  </w:t>
      </w:r>
      <w:r>
        <w:rPr>
          <w:rFonts w:hint="eastAsia" w:asciiTheme="majorEastAsia" w:hAnsiTheme="majorEastAsia" w:eastAsiaTheme="majorEastAsia" w:cstheme="majorEastAsia"/>
        </w:rPr>
        <w:tab/>
      </w:r>
      <w:r>
        <w:rPr>
          <w:rFonts w:asciiTheme="majorEastAsia" w:hAnsiTheme="majorEastAsia" w:eastAsiaTheme="majorEastAsia" w:cstheme="majorEastAsia"/>
        </w:rPr>
        <w:t>B</w:t>
      </w:r>
      <w:r>
        <w:rPr>
          <w:rFonts w:hint="eastAsia" w:asciiTheme="majorEastAsia" w:hAnsiTheme="majorEastAsia" w:eastAsiaTheme="majorEastAsia" w:cstheme="majorEastAsia"/>
        </w:rPr>
        <w:t>．科技发达</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C</w:t>
      </w:r>
      <w:r>
        <w:rPr>
          <w:rFonts w:hint="eastAsia" w:asciiTheme="majorEastAsia" w:hAnsiTheme="majorEastAsia" w:eastAsiaTheme="majorEastAsia" w:cstheme="majorEastAsia"/>
        </w:rPr>
        <w:t>．交通便利</w:t>
      </w:r>
      <w:r>
        <w:rPr>
          <w:rFonts w:asciiTheme="majorEastAsia" w:hAnsiTheme="majorEastAsia" w:eastAsiaTheme="majorEastAsia" w:cstheme="majorEastAsia"/>
        </w:rPr>
        <w:t xml:space="preserve">  </w:t>
      </w:r>
      <w:r>
        <w:rPr>
          <w:rFonts w:hint="eastAsia" w:asciiTheme="majorEastAsia" w:hAnsiTheme="majorEastAsia" w:eastAsiaTheme="majorEastAsia" w:cstheme="majorEastAsia"/>
        </w:rPr>
        <w:tab/>
      </w:r>
      <w:r>
        <w:rPr>
          <w:rFonts w:asciiTheme="majorEastAsia" w:hAnsiTheme="majorEastAsia" w:eastAsiaTheme="majorEastAsia" w:cstheme="majorEastAsia"/>
        </w:rPr>
        <w:t>D</w:t>
      </w:r>
      <w:r>
        <w:rPr>
          <w:rFonts w:hint="eastAsia" w:asciiTheme="majorEastAsia" w:hAnsiTheme="majorEastAsia" w:eastAsiaTheme="majorEastAsia" w:cstheme="majorEastAsia"/>
        </w:rPr>
        <w:t>．市场广阔</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drawing>
          <wp:anchor distT="0" distB="0" distL="114300" distR="114300" simplePos="0" relativeHeight="251659264" behindDoc="0" locked="0" layoutInCell="1" allowOverlap="1">
            <wp:simplePos x="0" y="0"/>
            <wp:positionH relativeFrom="column">
              <wp:posOffset>3853180</wp:posOffset>
            </wp:positionH>
            <wp:positionV relativeFrom="paragraph">
              <wp:posOffset>465455</wp:posOffset>
            </wp:positionV>
            <wp:extent cx="1704975" cy="1466850"/>
            <wp:effectExtent l="0" t="0" r="9525"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 r:link="rId5" cstate="print">
                      <a:clrChange>
                        <a:clrFrom>
                          <a:srgbClr val="FEFDFC"/>
                        </a:clrFrom>
                        <a:clrTo>
                          <a:srgbClr val="FEFDFC">
                            <a:alpha val="0"/>
                          </a:srgbClr>
                        </a:clrTo>
                      </a:clrChange>
                    </a:blip>
                    <a:stretch>
                      <a:fillRect/>
                    </a:stretch>
                  </pic:blipFill>
                  <pic:spPr>
                    <a:xfrm>
                      <a:off x="0" y="0"/>
                      <a:ext cx="1704975" cy="1466850"/>
                    </a:xfrm>
                    <a:prstGeom prst="rect">
                      <a:avLst/>
                    </a:prstGeom>
                    <a:noFill/>
                    <a:ln w="9525">
                      <a:noFill/>
                      <a:miter lim="800000"/>
                      <a:headEnd/>
                      <a:tailEnd/>
                    </a:ln>
                  </pic:spPr>
                </pic:pic>
              </a:graphicData>
            </a:graphic>
          </wp:anchor>
        </w:drawing>
      </w:r>
      <w:r>
        <w:rPr>
          <w:rFonts w:asciiTheme="majorEastAsia" w:hAnsiTheme="majorEastAsia" w:eastAsiaTheme="majorEastAsia" w:cstheme="majorEastAsia"/>
        </w:rPr>
        <w:t>1</w:t>
      </w:r>
      <w:r>
        <w:rPr>
          <w:rFonts w:hint="eastAsia" w:asciiTheme="majorEastAsia" w:hAnsiTheme="majorEastAsia" w:eastAsiaTheme="majorEastAsia" w:cstheme="majorEastAsia"/>
        </w:rPr>
        <w:t>楼养鱼，</w:t>
      </w:r>
      <w:r>
        <w:rPr>
          <w:rFonts w:asciiTheme="majorEastAsia" w:hAnsiTheme="majorEastAsia" w:eastAsiaTheme="majorEastAsia" w:cstheme="majorEastAsia"/>
        </w:rPr>
        <w:t>2</w:t>
      </w:r>
      <w:r>
        <w:rPr>
          <w:rFonts w:hint="eastAsia" w:asciiTheme="majorEastAsia" w:hAnsiTheme="majorEastAsia" w:eastAsiaTheme="majorEastAsia" w:cstheme="majorEastAsia"/>
        </w:rPr>
        <w:t>楼养猪……</w:t>
      </w:r>
      <w:r>
        <w:rPr>
          <w:rFonts w:asciiTheme="majorEastAsia" w:hAnsiTheme="majorEastAsia" w:eastAsiaTheme="majorEastAsia" w:cstheme="majorEastAsia"/>
        </w:rPr>
        <w:t>12</w:t>
      </w:r>
      <w:r>
        <w:rPr>
          <w:rFonts w:hint="eastAsia" w:asciiTheme="majorEastAsia" w:hAnsiTheme="majorEastAsia" w:eastAsiaTheme="majorEastAsia" w:cstheme="majorEastAsia"/>
        </w:rPr>
        <w:t>楼种植西红柿……垂直农业是指在城市的多层建筑物里模拟农业环境，通过垂直农场的自循环体系生产农副产品，为社区居民就近提供新鲜食物的农业生产方式。读图，完成3-4题。</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t>3．垂直农业由概念走向实际关键因素是</w:t>
      </w:r>
      <w:r>
        <w:rPr>
          <w:rFonts w:asciiTheme="majorEastAsia" w:hAnsiTheme="majorEastAsia" w:eastAsiaTheme="majorEastAsia" w:cstheme="majorEastAsia"/>
        </w:rPr>
        <w:t>(</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w:t>
      </w:r>
    </w:p>
    <w:p>
      <w:pPr>
        <w:pStyle w:val="4"/>
        <w:tabs>
          <w:tab w:val="left" w:pos="3465"/>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A</w:t>
      </w:r>
      <w:r>
        <w:rPr>
          <w:rFonts w:hint="eastAsia" w:asciiTheme="majorEastAsia" w:hAnsiTheme="majorEastAsia" w:eastAsiaTheme="majorEastAsia" w:cstheme="majorEastAsia"/>
        </w:rPr>
        <w:t>．交通发展</w:t>
      </w:r>
      <w:r>
        <w:rPr>
          <w:rFonts w:asciiTheme="majorEastAsia" w:hAnsiTheme="majorEastAsia" w:eastAsiaTheme="majorEastAsia" w:cstheme="majorEastAsia"/>
        </w:rPr>
        <w:t xml:space="preserve">  </w:t>
      </w:r>
      <w:r>
        <w:rPr>
          <w:rFonts w:hint="eastAsia" w:asciiTheme="majorEastAsia" w:hAnsiTheme="majorEastAsia" w:eastAsiaTheme="majorEastAsia" w:cstheme="majorEastAsia"/>
        </w:rPr>
        <w:tab/>
      </w:r>
      <w:r>
        <w:rPr>
          <w:rFonts w:asciiTheme="majorEastAsia" w:hAnsiTheme="majorEastAsia" w:eastAsiaTheme="majorEastAsia" w:cstheme="majorEastAsia"/>
        </w:rPr>
        <w:t>B</w:t>
      </w:r>
      <w:r>
        <w:rPr>
          <w:rFonts w:hint="eastAsia" w:asciiTheme="majorEastAsia" w:hAnsiTheme="majorEastAsia" w:eastAsiaTheme="majorEastAsia" w:cstheme="majorEastAsia"/>
        </w:rPr>
        <w:t>．气候变化</w:t>
      </w:r>
    </w:p>
    <w:p>
      <w:pPr>
        <w:pStyle w:val="4"/>
        <w:tabs>
          <w:tab w:val="left" w:pos="3465"/>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C</w:t>
      </w:r>
      <w:r>
        <w:rPr>
          <w:rFonts w:hint="eastAsia" w:asciiTheme="majorEastAsia" w:hAnsiTheme="majorEastAsia" w:eastAsiaTheme="majorEastAsia" w:cstheme="majorEastAsia"/>
        </w:rPr>
        <w:t>．技术水平</w:t>
      </w:r>
      <w:r>
        <w:rPr>
          <w:rFonts w:asciiTheme="majorEastAsia" w:hAnsiTheme="majorEastAsia" w:eastAsiaTheme="majorEastAsia" w:cstheme="majorEastAsia"/>
        </w:rPr>
        <w:t xml:space="preserve">  </w:t>
      </w:r>
      <w:r>
        <w:rPr>
          <w:rFonts w:hint="eastAsia" w:asciiTheme="majorEastAsia" w:hAnsiTheme="majorEastAsia" w:eastAsiaTheme="majorEastAsia" w:cstheme="majorEastAsia"/>
        </w:rPr>
        <w:tab/>
      </w:r>
      <w:r>
        <w:rPr>
          <w:rFonts w:asciiTheme="majorEastAsia" w:hAnsiTheme="majorEastAsia" w:eastAsiaTheme="majorEastAsia" w:cstheme="majorEastAsia"/>
        </w:rPr>
        <w:t>D</w:t>
      </w:r>
      <w:r>
        <w:rPr>
          <w:rFonts w:hint="eastAsia" w:asciiTheme="majorEastAsia" w:hAnsiTheme="majorEastAsia" w:eastAsiaTheme="majorEastAsia" w:cstheme="majorEastAsia"/>
        </w:rPr>
        <w:t>．劳动力数量</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t>4．垂直农业的发展，可能产生的影响有</w:t>
      </w:r>
      <w:r>
        <w:rPr>
          <w:rFonts w:asciiTheme="majorEastAsia" w:hAnsiTheme="majorEastAsia" w:eastAsiaTheme="majorEastAsia" w:cstheme="majorEastAsia"/>
        </w:rPr>
        <w:t>(</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t>①对谷物生产带来较大冲击</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t>②减轻农业生产的能源消耗</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t>③规避灾害，有利于农产品的稳定供应</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t>④节约耕地，降低农产品生产成本</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A</w:t>
      </w:r>
      <w:r>
        <w:rPr>
          <w:rFonts w:hint="eastAsia" w:asciiTheme="majorEastAsia" w:hAnsiTheme="majorEastAsia" w:eastAsiaTheme="majorEastAsia" w:cstheme="majorEastAsia"/>
        </w:rPr>
        <w:t>．①③</w:t>
      </w:r>
      <w:r>
        <w:rPr>
          <w:rFonts w:asciiTheme="majorEastAsia" w:hAnsiTheme="majorEastAsia" w:eastAsiaTheme="majorEastAsia" w:cstheme="majorEastAsia"/>
        </w:rPr>
        <w:t xml:space="preserve">  </w:t>
      </w:r>
      <w:r>
        <w:rPr>
          <w:rFonts w:hint="eastAsia" w:asciiTheme="majorEastAsia" w:hAnsiTheme="majorEastAsia" w:eastAsiaTheme="majorEastAsia" w:cstheme="majorEastAsia"/>
        </w:rPr>
        <w:tab/>
      </w:r>
      <w:r>
        <w:rPr>
          <w:rFonts w:asciiTheme="majorEastAsia" w:hAnsiTheme="majorEastAsia" w:eastAsiaTheme="majorEastAsia" w:cstheme="majorEastAsia"/>
        </w:rPr>
        <w:t>B</w:t>
      </w:r>
      <w:r>
        <w:rPr>
          <w:rFonts w:hint="eastAsia" w:asciiTheme="majorEastAsia" w:hAnsiTheme="majorEastAsia" w:eastAsiaTheme="majorEastAsia" w:cstheme="majorEastAsia"/>
        </w:rPr>
        <w:t>．②③</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C</w:t>
      </w:r>
      <w:r>
        <w:rPr>
          <w:rFonts w:hint="eastAsia" w:asciiTheme="majorEastAsia" w:hAnsiTheme="majorEastAsia" w:eastAsiaTheme="majorEastAsia" w:cstheme="majorEastAsia"/>
        </w:rPr>
        <w:t>．②④</w:t>
      </w:r>
      <w:r>
        <w:rPr>
          <w:rFonts w:asciiTheme="majorEastAsia" w:hAnsiTheme="majorEastAsia" w:eastAsiaTheme="majorEastAsia" w:cstheme="majorEastAsia"/>
        </w:rPr>
        <w:t xml:space="preserve">  </w:t>
      </w:r>
      <w:r>
        <w:rPr>
          <w:rFonts w:hint="eastAsia" w:asciiTheme="majorEastAsia" w:hAnsiTheme="majorEastAsia" w:eastAsiaTheme="majorEastAsia" w:cstheme="majorEastAsia"/>
        </w:rPr>
        <w:tab/>
      </w:r>
      <w:r>
        <w:rPr>
          <w:rFonts w:asciiTheme="majorEastAsia" w:hAnsiTheme="majorEastAsia" w:eastAsiaTheme="majorEastAsia" w:cstheme="majorEastAsia"/>
        </w:rPr>
        <w:t>D</w:t>
      </w:r>
      <w:r>
        <w:rPr>
          <w:rFonts w:hint="eastAsia" w:asciiTheme="majorEastAsia" w:hAnsiTheme="majorEastAsia" w:eastAsiaTheme="majorEastAsia" w:cstheme="majorEastAsia"/>
        </w:rPr>
        <w:t>．③④</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t>桑基、蔗基、果基鱼塘是珠江三角洲地区传统的农业景观和被联合国推介的典型生态循环农业模式。改革开放以来</w:t>
      </w:r>
      <w:r>
        <w:rPr>
          <w:rFonts w:asciiTheme="majorEastAsia" w:hAnsiTheme="majorEastAsia" w:eastAsiaTheme="majorEastAsia" w:cstheme="majorEastAsia"/>
        </w:rPr>
        <w:t>,</w:t>
      </w:r>
      <w:r>
        <w:rPr>
          <w:rFonts w:hint="eastAsia" w:asciiTheme="majorEastAsia" w:hAnsiTheme="majorEastAsia" w:eastAsiaTheme="majorEastAsia" w:cstheme="majorEastAsia"/>
        </w:rPr>
        <w:t>随着工业化和城镇化的快速发展</w:t>
      </w:r>
      <w:r>
        <w:rPr>
          <w:rFonts w:asciiTheme="majorEastAsia" w:hAnsiTheme="majorEastAsia" w:eastAsiaTheme="majorEastAsia" w:cstheme="majorEastAsia"/>
        </w:rPr>
        <w:t>,</w:t>
      </w:r>
      <w:r>
        <w:rPr>
          <w:rFonts w:hint="eastAsia" w:asciiTheme="majorEastAsia" w:hAnsiTheme="majorEastAsia" w:eastAsiaTheme="majorEastAsia" w:cstheme="majorEastAsia"/>
        </w:rPr>
        <w:t>传统的基塘农业用地大部分变为建设用地</w:t>
      </w:r>
      <w:r>
        <w:rPr>
          <w:rFonts w:asciiTheme="majorEastAsia" w:hAnsiTheme="majorEastAsia" w:eastAsiaTheme="majorEastAsia" w:cstheme="majorEastAsia"/>
        </w:rPr>
        <w:t>,</w:t>
      </w:r>
      <w:r>
        <w:rPr>
          <w:rFonts w:hint="eastAsia" w:asciiTheme="majorEastAsia" w:hAnsiTheme="majorEastAsia" w:eastAsiaTheme="majorEastAsia" w:cstheme="majorEastAsia"/>
        </w:rPr>
        <w:t>保留下来的基塘也变为以花基、菜基为主。据此完成5－6题。</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t>5.农民用花基、菜基鱼塘取代桑基、蔗基鱼塘的直接目的是</w:t>
      </w:r>
      <w:r>
        <w:rPr>
          <w:rFonts w:asciiTheme="majorEastAsia" w:hAnsiTheme="majorEastAsia" w:eastAsiaTheme="majorEastAsia" w:cstheme="majorEastAsia"/>
        </w:rPr>
        <w:t>(</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A.</w:t>
      </w:r>
      <w:r>
        <w:rPr>
          <w:rFonts w:hint="eastAsia" w:asciiTheme="majorEastAsia" w:hAnsiTheme="majorEastAsia" w:eastAsiaTheme="majorEastAsia" w:cstheme="majorEastAsia"/>
        </w:rPr>
        <w:t>提高土壤质量</w:t>
      </w:r>
      <w:r>
        <w:rPr>
          <w:rFonts w:hint="eastAsia" w:asciiTheme="majorEastAsia" w:hAnsiTheme="majorEastAsia" w:eastAsiaTheme="majorEastAsia" w:cstheme="majorEastAsia"/>
        </w:rPr>
        <w:tab/>
      </w:r>
      <w:r>
        <w:rPr>
          <w:rFonts w:asciiTheme="majorEastAsia" w:hAnsiTheme="majorEastAsia" w:eastAsiaTheme="majorEastAsia" w:cstheme="majorEastAsia"/>
        </w:rPr>
        <w:t>B.</w:t>
      </w:r>
      <w:r>
        <w:rPr>
          <w:rFonts w:hint="eastAsia" w:asciiTheme="majorEastAsia" w:hAnsiTheme="majorEastAsia" w:eastAsiaTheme="majorEastAsia" w:cstheme="majorEastAsia"/>
        </w:rPr>
        <w:t>节省劳动力</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C.</w:t>
      </w:r>
      <w:r>
        <w:rPr>
          <w:rFonts w:hint="eastAsia" w:asciiTheme="majorEastAsia" w:hAnsiTheme="majorEastAsia" w:eastAsiaTheme="majorEastAsia" w:cstheme="majorEastAsia"/>
        </w:rPr>
        <w:t>促进生态循环</w:t>
      </w:r>
      <w:r>
        <w:rPr>
          <w:rFonts w:hint="eastAsia" w:asciiTheme="majorEastAsia" w:hAnsiTheme="majorEastAsia" w:eastAsiaTheme="majorEastAsia" w:cstheme="majorEastAsia"/>
        </w:rPr>
        <w:tab/>
      </w:r>
      <w:r>
        <w:rPr>
          <w:rFonts w:asciiTheme="majorEastAsia" w:hAnsiTheme="majorEastAsia" w:eastAsiaTheme="majorEastAsia" w:cstheme="majorEastAsia"/>
        </w:rPr>
        <w:t>D.</w:t>
      </w:r>
      <w:r>
        <w:rPr>
          <w:rFonts w:hint="eastAsia" w:asciiTheme="majorEastAsia" w:hAnsiTheme="majorEastAsia" w:eastAsiaTheme="majorEastAsia" w:cstheme="majorEastAsia"/>
        </w:rPr>
        <w:t>提高经济收入</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t>6.桑基、蔗基鱼塘被保留的很少</w:t>
      </w:r>
      <w:r>
        <w:rPr>
          <w:rFonts w:asciiTheme="majorEastAsia" w:hAnsiTheme="majorEastAsia" w:eastAsiaTheme="majorEastAsia" w:cstheme="majorEastAsia"/>
        </w:rPr>
        <w:t>,</w:t>
      </w:r>
      <w:r>
        <w:rPr>
          <w:rFonts w:hint="eastAsia" w:asciiTheme="majorEastAsia" w:hAnsiTheme="majorEastAsia" w:eastAsiaTheme="majorEastAsia" w:cstheme="majorEastAsia"/>
        </w:rPr>
        <w:t>反映了该生态循环农业模式</w:t>
      </w:r>
      <w:r>
        <w:rPr>
          <w:rFonts w:asciiTheme="majorEastAsia" w:hAnsiTheme="majorEastAsia" w:eastAsiaTheme="majorEastAsia" w:cstheme="majorEastAsia"/>
        </w:rPr>
        <w:tab/>
      </w:r>
      <w:r>
        <w:rPr>
          <w:rFonts w:asciiTheme="majorEastAsia" w:hAnsiTheme="majorEastAsia" w:eastAsiaTheme="majorEastAsia" w:cstheme="majorEastAsia"/>
        </w:rPr>
        <w:t>(</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A.</w:t>
      </w:r>
      <w:r>
        <w:rPr>
          <w:rFonts w:hint="eastAsia" w:asciiTheme="majorEastAsia" w:hAnsiTheme="majorEastAsia" w:eastAsiaTheme="majorEastAsia" w:cstheme="majorEastAsia"/>
        </w:rPr>
        <w:t>与当地产业发展方向不一致</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B.</w:t>
      </w:r>
      <w:r>
        <w:rPr>
          <w:rFonts w:hint="eastAsia" w:asciiTheme="majorEastAsia" w:hAnsiTheme="majorEastAsia" w:eastAsiaTheme="majorEastAsia" w:cstheme="majorEastAsia"/>
        </w:rPr>
        <w:t>不具有在其他地区推广的价值</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C.</w:t>
      </w:r>
      <w:r>
        <w:rPr>
          <w:rFonts w:hint="eastAsia" w:asciiTheme="majorEastAsia" w:hAnsiTheme="majorEastAsia" w:eastAsiaTheme="majorEastAsia" w:cstheme="majorEastAsia"/>
        </w:rPr>
        <w:t>与现代农业发展要求不相符</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D.</w:t>
      </w:r>
      <w:r>
        <w:rPr>
          <w:rFonts w:hint="eastAsia" w:asciiTheme="majorEastAsia" w:hAnsiTheme="majorEastAsia" w:eastAsiaTheme="majorEastAsia" w:cstheme="majorEastAsia"/>
        </w:rPr>
        <w:t>不适应当地水热条件的变化</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读我国部分省、直辖市出现“人口零增长”的时间预测表，据此完成下列</w:t>
      </w:r>
      <w:r>
        <w:rPr>
          <w:rFonts w:hint="eastAsia" w:asciiTheme="majorEastAsia" w:hAnsiTheme="majorEastAsia" w:eastAsiaTheme="majorEastAsia" w:cstheme="majorEastAsia"/>
        </w:rPr>
        <w:t>2小</w:t>
      </w:r>
      <w:r>
        <w:rPr>
          <w:rFonts w:asciiTheme="majorEastAsia" w:hAnsiTheme="majorEastAsia" w:eastAsiaTheme="majorEastAsia" w:cstheme="majorEastAsia"/>
        </w:rPr>
        <w:t>题。</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drawing>
          <wp:inline distT="0" distB="0" distL="0" distR="0">
            <wp:extent cx="4027805" cy="1383030"/>
            <wp:effectExtent l="0" t="0" r="10795" b="7620"/>
            <wp:docPr id="13"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 "/>
                    <pic:cNvPicPr>
                      <a:picLocks noChangeAspect="1" noChangeArrowheads="1"/>
                    </pic:cNvPicPr>
                  </pic:nvPicPr>
                  <pic:blipFill>
                    <a:blip r:embed="rId6" cstate="print"/>
                    <a:stretch>
                      <a:fillRect/>
                    </a:stretch>
                  </pic:blipFill>
                  <pic:spPr>
                    <a:xfrm>
                      <a:off x="0" y="0"/>
                      <a:ext cx="4039025" cy="1387263"/>
                    </a:xfrm>
                    <a:prstGeom prst="rect">
                      <a:avLst/>
                    </a:prstGeom>
                    <a:noFill/>
                    <a:ln w="9525">
                      <a:noFill/>
                      <a:miter lim="800000"/>
                      <a:headEnd/>
                      <a:tailEnd/>
                    </a:ln>
                  </pic:spPr>
                </pic:pic>
              </a:graphicData>
            </a:graphic>
          </wp:inline>
        </w:drawing>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t>7</w:t>
      </w:r>
      <w:r>
        <w:rPr>
          <w:rFonts w:asciiTheme="majorEastAsia" w:hAnsiTheme="majorEastAsia" w:eastAsiaTheme="majorEastAsia" w:cstheme="majorEastAsia"/>
        </w:rPr>
        <w:t>. 不同省区出现“人口零增长”的时间差异显著，主要影响因素有(</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①环境　  ②经济　  ③教育  　④资源</w:t>
      </w:r>
    </w:p>
    <w:p>
      <w:pPr>
        <w:pStyle w:val="4"/>
        <w:tabs>
          <w:tab w:val="left" w:pos="336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A. ①②</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B. ②③</w:t>
      </w:r>
      <w:r>
        <w:rPr>
          <w:rFonts w:asciiTheme="majorEastAsia" w:hAnsiTheme="majorEastAsia" w:eastAsiaTheme="majorEastAsia" w:cstheme="majorEastAsia"/>
        </w:rPr>
        <w:tab/>
      </w:r>
      <w:r>
        <w:rPr>
          <w:rFonts w:asciiTheme="majorEastAsia" w:hAnsiTheme="majorEastAsia" w:eastAsiaTheme="majorEastAsia" w:cstheme="majorEastAsia"/>
        </w:rPr>
        <w:t>C. ③④</w:t>
      </w:r>
      <w:r>
        <w:rPr>
          <w:rFonts w:asciiTheme="majorEastAsia" w:hAnsiTheme="majorEastAsia" w:eastAsiaTheme="majorEastAsia" w:cstheme="majorEastAsia"/>
        </w:rPr>
        <w:tab/>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D. ①④</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t>8</w:t>
      </w:r>
      <w:r>
        <w:rPr>
          <w:rFonts w:asciiTheme="majorEastAsia" w:hAnsiTheme="majorEastAsia" w:eastAsiaTheme="majorEastAsia" w:cstheme="majorEastAsia"/>
        </w:rPr>
        <w:t>. 针对我国“人口零增长”可能引发的人口问题，下列措施正确的是(</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A. 放开生育政策，鼓励生育</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B. 建立并完善社会养老服务体系</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C. 大量吸纳移民，弥补劳动力的不足</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D. 加大资源的开发力度，提高人口容量</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11月24日,备受瞩目的杭州地铁开通试运营。下图是杭州市观测点不同时段地铁运输人数变化曲线图,据此回答问题。</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drawing>
          <wp:inline distT="0" distB="0" distL="0" distR="0">
            <wp:extent cx="3359150" cy="1463040"/>
            <wp:effectExtent l="0" t="0" r="12700" b="3810"/>
            <wp:docPr id="68" name="图片 6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 "/>
                    <pic:cNvPicPr>
                      <a:picLocks noChangeAspect="1" noChangeArrowheads="1"/>
                    </pic:cNvPicPr>
                  </pic:nvPicPr>
                  <pic:blipFill>
                    <a:blip r:embed="rId7" cstate="print"/>
                    <a:srcRect b="16279"/>
                    <a:stretch>
                      <a:fillRect/>
                    </a:stretch>
                  </pic:blipFill>
                  <pic:spPr>
                    <a:xfrm>
                      <a:off x="0" y="0"/>
                      <a:ext cx="3361920" cy="1464062"/>
                    </a:xfrm>
                    <a:prstGeom prst="rect">
                      <a:avLst/>
                    </a:prstGeom>
                    <a:noFill/>
                    <a:ln w="9525">
                      <a:noFill/>
                      <a:miter lim="800000"/>
                      <a:headEnd/>
                      <a:tailEnd/>
                    </a:ln>
                  </pic:spPr>
                </pic:pic>
              </a:graphicData>
            </a:graphic>
          </wp:inline>
        </w:drawing>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t>9.滞留在本区人口数最多的时间点是</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t>A.8时左右            B.10时左右       C.14时左右        D.18时左右</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t>10.该观测点可能位于下列哪个功能区</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t>A.工业区     B.中心商务区        C.高级住宅区     D.低级住宅区</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t>11.目前，一般城市选择远郊建造公租房、经济适用房，影响决策的主导因素是</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t>A.土地价格      B.环境因素      C.交通条件       D.土地利用效率</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读“我国某市市中心和郊外平原降水、径流、蒸发量对比表”，完成下面</w:t>
      </w:r>
      <w:r>
        <w:rPr>
          <w:rFonts w:hint="eastAsia" w:asciiTheme="majorEastAsia" w:hAnsiTheme="majorEastAsia" w:eastAsiaTheme="majorEastAsia" w:cstheme="majorEastAsia"/>
        </w:rPr>
        <w:t>2</w:t>
      </w:r>
      <w:r>
        <w:rPr>
          <w:rFonts w:asciiTheme="majorEastAsia" w:hAnsiTheme="majorEastAsia" w:eastAsiaTheme="majorEastAsia" w:cstheme="majorEastAsia"/>
        </w:rPr>
        <w:t>小题。</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drawing>
          <wp:inline distT="0" distB="0" distL="0" distR="0">
            <wp:extent cx="4972050" cy="1066800"/>
            <wp:effectExtent l="0" t="0" r="0" b="0"/>
            <wp:docPr id="37" name="图片 3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 "/>
                    <pic:cNvPicPr>
                      <a:picLocks noChangeAspect="1" noChangeArrowheads="1"/>
                    </pic:cNvPicPr>
                  </pic:nvPicPr>
                  <pic:blipFill>
                    <a:blip r:embed="rId8" cstate="print"/>
                    <a:stretch>
                      <a:fillRect/>
                    </a:stretch>
                  </pic:blipFill>
                  <pic:spPr>
                    <a:xfrm>
                      <a:off x="0" y="0"/>
                      <a:ext cx="4972050" cy="1066800"/>
                    </a:xfrm>
                    <a:prstGeom prst="rect">
                      <a:avLst/>
                    </a:prstGeom>
                    <a:noFill/>
                    <a:ln w="9525">
                      <a:noFill/>
                      <a:miter lim="800000"/>
                      <a:headEnd/>
                      <a:tailEnd/>
                    </a:ln>
                  </pic:spPr>
                </pic:pic>
              </a:graphicData>
            </a:graphic>
          </wp:inline>
        </w:drawing>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1</w:t>
      </w:r>
      <w:r>
        <w:rPr>
          <w:rFonts w:hint="eastAsia" w:asciiTheme="majorEastAsia" w:hAnsiTheme="majorEastAsia" w:eastAsiaTheme="majorEastAsia" w:cstheme="majorEastAsia"/>
        </w:rPr>
        <w:t>2</w:t>
      </w:r>
      <w:r>
        <w:rPr>
          <w:rFonts w:asciiTheme="majorEastAsia" w:hAnsiTheme="majorEastAsia" w:eastAsiaTheme="majorEastAsia" w:cstheme="majorEastAsia"/>
        </w:rPr>
        <w:t>. 该市城市建设导致了市中心(</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A. 地下水位的上升</w:t>
      </w:r>
      <w:r>
        <w:rPr>
          <w:rFonts w:asciiTheme="majorEastAsia" w:hAnsiTheme="majorEastAsia" w:eastAsiaTheme="majorEastAsia" w:cstheme="majorEastAsia"/>
        </w:rPr>
        <w:tab/>
      </w:r>
      <w:r>
        <w:rPr>
          <w:rFonts w:asciiTheme="majorEastAsia" w:hAnsiTheme="majorEastAsia" w:eastAsiaTheme="majorEastAsia" w:cstheme="majorEastAsia"/>
        </w:rPr>
        <w:t>B. 径流总量减少</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C. 蒸发量减少</w:t>
      </w:r>
      <w:r>
        <w:rPr>
          <w:rFonts w:asciiTheme="majorEastAsia" w:hAnsiTheme="majorEastAsia" w:eastAsiaTheme="majorEastAsia" w:cstheme="majorEastAsia"/>
        </w:rPr>
        <w:tab/>
      </w:r>
      <w:r>
        <w:rPr>
          <w:rFonts w:asciiTheme="majorEastAsia" w:hAnsiTheme="majorEastAsia" w:eastAsiaTheme="majorEastAsia" w:cstheme="majorEastAsia"/>
        </w:rPr>
        <w:t>D. 降水量减少</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1</w:t>
      </w:r>
      <w:r>
        <w:rPr>
          <w:rFonts w:hint="eastAsia" w:asciiTheme="majorEastAsia" w:hAnsiTheme="majorEastAsia" w:eastAsiaTheme="majorEastAsia" w:cstheme="majorEastAsia"/>
        </w:rPr>
        <w:t>3</w:t>
      </w:r>
      <w:r>
        <w:rPr>
          <w:rFonts w:asciiTheme="majorEastAsia" w:hAnsiTheme="majorEastAsia" w:eastAsiaTheme="majorEastAsia" w:cstheme="majorEastAsia"/>
        </w:rPr>
        <w:t>. 要减少该市中心区在降雨时期的地表径流，下列措施合理的是(</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A. 将市中心的地表水调往郊区</w:t>
      </w:r>
      <w:r>
        <w:rPr>
          <w:rFonts w:asciiTheme="majorEastAsia" w:hAnsiTheme="majorEastAsia" w:eastAsiaTheme="majorEastAsia" w:cstheme="majorEastAsia"/>
        </w:rPr>
        <w:tab/>
      </w:r>
      <w:r>
        <w:rPr>
          <w:rFonts w:asciiTheme="majorEastAsia" w:hAnsiTheme="majorEastAsia" w:eastAsiaTheme="majorEastAsia" w:cstheme="majorEastAsia"/>
        </w:rPr>
        <w:t>B. 扩大城市的规模</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C. 适当减少绿地面积</w:t>
      </w:r>
      <w:r>
        <w:rPr>
          <w:rFonts w:asciiTheme="majorEastAsia" w:hAnsiTheme="majorEastAsia" w:eastAsiaTheme="majorEastAsia" w:cstheme="majorEastAsia"/>
        </w:rPr>
        <w:tab/>
      </w:r>
      <w:r>
        <w:rPr>
          <w:rFonts w:asciiTheme="majorEastAsia" w:hAnsiTheme="majorEastAsia" w:eastAsiaTheme="majorEastAsia" w:cstheme="majorEastAsia"/>
        </w:rPr>
        <w:t>D. 推广使用渗水砖</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t>右</w:t>
      </w:r>
      <w:r>
        <w:rPr>
          <w:rFonts w:asciiTheme="majorEastAsia" w:hAnsiTheme="majorEastAsia" w:eastAsiaTheme="majorEastAsia" w:cstheme="majorEastAsia"/>
        </w:rPr>
        <w:t>下图是每隔五年世界人口年龄构成变化图(含预测),按年龄分为未满15岁、15~65岁、65岁以上三个区间。读图,完成下面</w:t>
      </w:r>
      <w:r>
        <w:rPr>
          <w:rFonts w:hint="eastAsia" w:asciiTheme="majorEastAsia" w:hAnsiTheme="majorEastAsia" w:eastAsiaTheme="majorEastAsia" w:cstheme="majorEastAsia"/>
        </w:rPr>
        <w:t>2</w:t>
      </w:r>
      <w:r>
        <w:rPr>
          <w:rFonts w:asciiTheme="majorEastAsia" w:hAnsiTheme="majorEastAsia" w:eastAsiaTheme="majorEastAsia" w:cstheme="majorEastAsia"/>
        </w:rPr>
        <w:t>小题。</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drawing>
          <wp:anchor distT="0" distB="0" distL="114300" distR="114300" simplePos="0" relativeHeight="251660288" behindDoc="0" locked="0" layoutInCell="1" allowOverlap="1">
            <wp:simplePos x="0" y="0"/>
            <wp:positionH relativeFrom="column">
              <wp:posOffset>3062605</wp:posOffset>
            </wp:positionH>
            <wp:positionV relativeFrom="paragraph">
              <wp:posOffset>193040</wp:posOffset>
            </wp:positionV>
            <wp:extent cx="2762250" cy="1790700"/>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9" cstate="print"/>
                    <a:stretch>
                      <a:fillRect/>
                    </a:stretch>
                  </pic:blipFill>
                  <pic:spPr>
                    <a:xfrm>
                      <a:off x="0" y="0"/>
                      <a:ext cx="2762250" cy="1790700"/>
                    </a:xfrm>
                    <a:prstGeom prst="rect">
                      <a:avLst/>
                    </a:prstGeom>
                    <a:noFill/>
                    <a:ln w="9525">
                      <a:noFill/>
                      <a:miter lim="800000"/>
                      <a:headEnd/>
                      <a:tailEnd/>
                    </a:ln>
                  </pic:spPr>
                </pic:pic>
              </a:graphicData>
            </a:graphic>
          </wp:anchor>
        </w:drawing>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t>14</w:t>
      </w:r>
      <w:r>
        <w:rPr>
          <w:rFonts w:asciiTheme="majorEastAsia" w:hAnsiTheme="majorEastAsia" w:eastAsiaTheme="majorEastAsia" w:cstheme="majorEastAsia"/>
        </w:rPr>
        <w:t>. 图中甲表示的是（  ）</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A. 未满15岁的人口比重</w:t>
      </w:r>
      <w:r>
        <w:rPr>
          <w:rFonts w:asciiTheme="majorEastAsia" w:hAnsiTheme="majorEastAsia" w:eastAsiaTheme="majorEastAsia" w:cstheme="majorEastAsia"/>
        </w:rPr>
        <w:tab/>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B. 15～65岁的人口比重</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C. 未满65岁的人口比重</w:t>
      </w:r>
      <w:r>
        <w:rPr>
          <w:rFonts w:asciiTheme="majorEastAsia" w:hAnsiTheme="majorEastAsia" w:eastAsiaTheme="majorEastAsia" w:cstheme="majorEastAsia"/>
        </w:rPr>
        <w:tab/>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D. 65岁以上的人口比重</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t>15</w:t>
      </w:r>
      <w:r>
        <w:rPr>
          <w:rFonts w:asciiTheme="majorEastAsia" w:hAnsiTheme="majorEastAsia" w:eastAsiaTheme="majorEastAsia" w:cstheme="majorEastAsia"/>
        </w:rPr>
        <w:t>.人口负担系数指人口中非劳动年龄人口数与劳动年龄人口数之比。下列说法正确的是（  ）</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A. 世界人口老龄化使人口总负担系数逐渐升高</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B. 在图示的时间内老年负担系数和人口负担系数呈正相关</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C. 人口负担系数的变化趋势是先升高后降低</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D. 人口负担系数的变化趋势是先降低后升高</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该图为我国东南沿海某大城市郊区土地利用示意图。读图回答</w:t>
      </w:r>
      <w:r>
        <w:rPr>
          <w:rFonts w:hint="eastAsia" w:asciiTheme="majorEastAsia" w:hAnsiTheme="majorEastAsia" w:eastAsiaTheme="majorEastAsia" w:cstheme="majorEastAsia"/>
        </w:rPr>
        <w:t>1</w:t>
      </w:r>
      <w:r>
        <w:rPr>
          <w:rFonts w:asciiTheme="majorEastAsia" w:hAnsiTheme="majorEastAsia" w:eastAsiaTheme="majorEastAsia" w:cstheme="majorEastAsia"/>
        </w:rPr>
        <w:t>6-</w:t>
      </w:r>
      <w:r>
        <w:rPr>
          <w:rFonts w:hint="eastAsia" w:asciiTheme="majorEastAsia" w:hAnsiTheme="majorEastAsia" w:eastAsiaTheme="majorEastAsia" w:cstheme="majorEastAsia"/>
        </w:rPr>
        <w:t>1</w:t>
      </w:r>
      <w:r>
        <w:rPr>
          <w:rFonts w:asciiTheme="majorEastAsia" w:hAnsiTheme="majorEastAsia" w:eastAsiaTheme="majorEastAsia" w:cstheme="majorEastAsia"/>
        </w:rPr>
        <w:t>7题。</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drawing>
          <wp:inline distT="0" distB="0" distL="0" distR="0">
            <wp:extent cx="3431540" cy="1651635"/>
            <wp:effectExtent l="0" t="0" r="16510" b="5715"/>
            <wp:docPr id="42" name="图片 4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 "/>
                    <pic:cNvPicPr>
                      <a:picLocks noChangeAspect="1" noChangeArrowheads="1"/>
                    </pic:cNvPicPr>
                  </pic:nvPicPr>
                  <pic:blipFill>
                    <a:blip r:embed="rId10" cstate="print"/>
                    <a:stretch>
                      <a:fillRect/>
                    </a:stretch>
                  </pic:blipFill>
                  <pic:spPr>
                    <a:xfrm>
                      <a:off x="0" y="0"/>
                      <a:ext cx="3433921" cy="1652938"/>
                    </a:xfrm>
                    <a:prstGeom prst="rect">
                      <a:avLst/>
                    </a:prstGeom>
                    <a:noFill/>
                    <a:ln w="9525">
                      <a:noFill/>
                      <a:miter lim="800000"/>
                      <a:headEnd/>
                      <a:tailEnd/>
                    </a:ln>
                  </pic:spPr>
                </pic:pic>
              </a:graphicData>
            </a:graphic>
          </wp:inline>
        </w:drawing>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t>16</w:t>
      </w:r>
      <w:r>
        <w:rPr>
          <w:rFonts w:asciiTheme="majorEastAsia" w:hAnsiTheme="majorEastAsia" w:eastAsiaTheme="majorEastAsia" w:cstheme="majorEastAsia"/>
        </w:rPr>
        <w:t>. 影响当地土地利用类型分布的主导因素是(</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w:t>
      </w:r>
    </w:p>
    <w:p>
      <w:pPr>
        <w:pStyle w:val="4"/>
        <w:tabs>
          <w:tab w:val="left" w:pos="294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A. 气候</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B. 水源</w:t>
      </w:r>
      <w:r>
        <w:rPr>
          <w:rFonts w:asciiTheme="majorEastAsia" w:hAnsiTheme="majorEastAsia" w:eastAsiaTheme="majorEastAsia" w:cstheme="majorEastAsia"/>
        </w:rPr>
        <w:tab/>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C. 地形</w:t>
      </w:r>
      <w:r>
        <w:rPr>
          <w:rFonts w:asciiTheme="majorEastAsia" w:hAnsiTheme="majorEastAsia" w:eastAsiaTheme="majorEastAsia" w:cstheme="majorEastAsia"/>
        </w:rPr>
        <w:tab/>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D. 土壤</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t>17</w:t>
      </w:r>
      <w:r>
        <w:rPr>
          <w:rFonts w:asciiTheme="majorEastAsia" w:hAnsiTheme="majorEastAsia" w:eastAsiaTheme="majorEastAsia" w:cstheme="majorEastAsia"/>
        </w:rPr>
        <w:t>.随着城市发展，城市郊区的农业结构将发生变化。下列土地利用类型在该地农业用地中的比重最可能降低的是(</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w:t>
      </w:r>
    </w:p>
    <w:p>
      <w:pPr>
        <w:pStyle w:val="4"/>
        <w:tabs>
          <w:tab w:val="left" w:pos="357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A. 稻田</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B. 鱼塘</w:t>
      </w:r>
      <w:r>
        <w:rPr>
          <w:rFonts w:asciiTheme="majorEastAsia" w:hAnsiTheme="majorEastAsia" w:eastAsiaTheme="majorEastAsia" w:cstheme="majorEastAsia"/>
        </w:rPr>
        <w:tab/>
      </w:r>
      <w:r>
        <w:rPr>
          <w:rFonts w:asciiTheme="majorEastAsia" w:hAnsiTheme="majorEastAsia" w:eastAsiaTheme="majorEastAsia" w:cstheme="majorEastAsia"/>
        </w:rPr>
        <w:t>C. 果园</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D. 菜地花圃</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我国一些农村地区，由于人口大量流出，出现了数量众多的老人、儿童等留守人员。在这些地方人口的大量流出反而推动了当地留守人群从乡村迁移到县城和乡镇驻地居住，进而提高了当地的城镇化水平。有学者将这种城镇化过程称之为“生活城镇化”。据此完成下面</w:t>
      </w:r>
      <w:r>
        <w:rPr>
          <w:rFonts w:hint="eastAsia" w:asciiTheme="majorEastAsia" w:hAnsiTheme="majorEastAsia" w:eastAsiaTheme="majorEastAsia" w:cstheme="majorEastAsia"/>
        </w:rPr>
        <w:t>2</w:t>
      </w:r>
      <w:r>
        <w:rPr>
          <w:rFonts w:asciiTheme="majorEastAsia" w:hAnsiTheme="majorEastAsia" w:eastAsiaTheme="majorEastAsia" w:cstheme="majorEastAsia"/>
        </w:rPr>
        <w:t>小题。</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t>18</w:t>
      </w:r>
      <w:r>
        <w:rPr>
          <w:rFonts w:asciiTheme="majorEastAsia" w:hAnsiTheme="majorEastAsia" w:eastAsiaTheme="majorEastAsia" w:cstheme="majorEastAsia"/>
        </w:rPr>
        <w:t>.“生活城镇化”现象的出现，是因为当地城镇有较好的（</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A.就业收入</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B.社会福利</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C.教育条件</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D.住房条件</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t>19</w:t>
      </w:r>
      <w:r>
        <w:rPr>
          <w:rFonts w:asciiTheme="majorEastAsia" w:hAnsiTheme="majorEastAsia" w:eastAsiaTheme="majorEastAsia" w:cstheme="majorEastAsia"/>
        </w:rPr>
        <w:t xml:space="preserve">.长远来看，“生活城镇化”（ </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A.是工业化推动城镇化的必然结果</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B.是提高城镇化水平的必由之路</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C.有利于农村养老问题的解决</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D.不利于乡村振兴战略的实施</w:t>
      </w:r>
    </w:p>
    <w:p>
      <w:pPr>
        <w:spacing w:line="360" w:lineRule="auto"/>
        <w:jc w:val="left"/>
        <w:textAlignment w:val="center"/>
        <w:rPr>
          <w:rFonts w:cs="楷体" w:asciiTheme="minorEastAsia" w:hAnsiTheme="minorEastAsia"/>
        </w:rPr>
      </w:pPr>
      <w:r>
        <w:rPr>
          <w:rFonts w:cs="楷体" w:asciiTheme="minorEastAsia" w:hAnsiTheme="minorEastAsia"/>
        </w:rPr>
        <w:t>读某城市片区公共服务配套设施分布图，完成下面</w:t>
      </w:r>
      <w:r>
        <w:rPr>
          <w:rFonts w:hint="eastAsia" w:cs="楷体" w:asciiTheme="minorEastAsia" w:hAnsiTheme="minorEastAsia"/>
        </w:rPr>
        <w:t>2</w:t>
      </w:r>
      <w:r>
        <w:rPr>
          <w:rFonts w:cs="楷体" w:asciiTheme="minorEastAsia" w:hAnsiTheme="minorEastAsia"/>
        </w:rPr>
        <w:t>小题。</w:t>
      </w:r>
    </w:p>
    <w:p>
      <w:pPr>
        <w:spacing w:line="360" w:lineRule="auto"/>
        <w:jc w:val="left"/>
        <w:textAlignment w:val="center"/>
        <w:rPr>
          <w:rFonts w:asciiTheme="minorEastAsia" w:hAnsiTheme="minorEastAsia"/>
        </w:rPr>
      </w:pPr>
      <w:r>
        <w:rPr>
          <w:rFonts w:asciiTheme="minorEastAsia" w:hAnsiTheme="minorEastAsia"/>
        </w:rPr>
        <w:drawing>
          <wp:inline distT="0" distB="0" distL="0" distR="0">
            <wp:extent cx="2809875" cy="2257425"/>
            <wp:effectExtent l="0" t="0" r="9525" b="9525"/>
            <wp:docPr id="100009" name="图片 100009" descr=" "/>
            <wp:cNvGraphicFramePr/>
            <a:graphic xmlns:a="http://schemas.openxmlformats.org/drawingml/2006/main">
              <a:graphicData uri="http://schemas.openxmlformats.org/drawingml/2006/picture">
                <pic:pic xmlns:pic="http://schemas.openxmlformats.org/drawingml/2006/picture">
                  <pic:nvPicPr>
                    <pic:cNvPr id="100009" name="图片 100009" descr=" "/>
                    <pic:cNvPicPr/>
                  </pic:nvPicPr>
                  <pic:blipFill>
                    <a:blip r:embed="rId11" cstate="print"/>
                    <a:stretch>
                      <a:fillRect/>
                    </a:stretch>
                  </pic:blipFill>
                  <pic:spPr>
                    <a:xfrm>
                      <a:off x="0" y="0"/>
                      <a:ext cx="2809875" cy="2257425"/>
                    </a:xfrm>
                    <a:prstGeom prst="rect">
                      <a:avLst/>
                    </a:prstGeom>
                  </pic:spPr>
                </pic:pic>
              </a:graphicData>
            </a:graphic>
          </wp:inline>
        </w:drawing>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t>20</w:t>
      </w:r>
      <w:r>
        <w:rPr>
          <w:rFonts w:asciiTheme="majorEastAsia" w:hAnsiTheme="majorEastAsia" w:eastAsiaTheme="majorEastAsia" w:cstheme="majorEastAsia"/>
        </w:rPr>
        <w:t>．图例所示设施的土地利用类型主要是(</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A．休憩用地及绿化地带    B．商业服务业用地</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C．工矿仓储用地    D．交通用地和其他公共事业用地</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2</w:t>
      </w:r>
      <w:r>
        <w:rPr>
          <w:rFonts w:hint="eastAsia" w:asciiTheme="majorEastAsia" w:hAnsiTheme="majorEastAsia" w:eastAsiaTheme="majorEastAsia" w:cstheme="majorEastAsia"/>
        </w:rPr>
        <w:t>1</w:t>
      </w:r>
      <w:r>
        <w:rPr>
          <w:rFonts w:asciiTheme="majorEastAsia" w:hAnsiTheme="majorEastAsia" w:eastAsiaTheme="majorEastAsia" w:cstheme="majorEastAsia"/>
        </w:rPr>
        <w:t>．若在图中规划物流园区，应安排在(</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A．① 处    B．② 处    C．③ 处    D．④ 处</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drawing>
          <wp:anchor distT="0" distB="0" distL="114300" distR="114300" simplePos="0" relativeHeight="251661312" behindDoc="0" locked="0" layoutInCell="1" allowOverlap="1">
            <wp:simplePos x="0" y="0"/>
            <wp:positionH relativeFrom="column">
              <wp:posOffset>491490</wp:posOffset>
            </wp:positionH>
            <wp:positionV relativeFrom="paragraph">
              <wp:posOffset>177165</wp:posOffset>
            </wp:positionV>
            <wp:extent cx="2119630" cy="2138680"/>
            <wp:effectExtent l="0" t="0" r="13970" b="1397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r:link="rId13" cstate="print">
                      <a:clrChange>
                        <a:clrFrom>
                          <a:srgbClr val="FEFDFC"/>
                        </a:clrFrom>
                        <a:clrTo>
                          <a:srgbClr val="FEFDFC">
                            <a:alpha val="0"/>
                          </a:srgbClr>
                        </a:clrTo>
                      </a:clrChange>
                    </a:blip>
                    <a:stretch>
                      <a:fillRect/>
                    </a:stretch>
                  </pic:blipFill>
                  <pic:spPr>
                    <a:xfrm>
                      <a:off x="0" y="0"/>
                      <a:ext cx="2119630" cy="2138680"/>
                    </a:xfrm>
                    <a:prstGeom prst="rect">
                      <a:avLst/>
                    </a:prstGeom>
                    <a:noFill/>
                    <a:ln w="9525">
                      <a:noFill/>
                      <a:miter lim="800000"/>
                      <a:headEnd/>
                      <a:tailEnd/>
                    </a:ln>
                  </pic:spPr>
                </pic:pic>
              </a:graphicData>
            </a:graphic>
          </wp:anchor>
        </w:drawing>
      </w:r>
      <w:r>
        <w:rPr>
          <w:rFonts w:hint="eastAsia" w:asciiTheme="majorEastAsia" w:hAnsiTheme="majorEastAsia" w:eastAsiaTheme="majorEastAsia" w:cstheme="majorEastAsia"/>
        </w:rPr>
        <w:t>读北半球某农场的工作历程</w:t>
      </w:r>
      <w:r>
        <w:rPr>
          <w:rFonts w:asciiTheme="majorEastAsia" w:hAnsiTheme="majorEastAsia" w:eastAsiaTheme="majorEastAsia" w:cstheme="majorEastAsia"/>
        </w:rPr>
        <w:t>(</w:t>
      </w:r>
      <w:r>
        <w:rPr>
          <w:rFonts w:hint="eastAsia" w:asciiTheme="majorEastAsia" w:hAnsiTheme="majorEastAsia" w:eastAsiaTheme="majorEastAsia" w:cstheme="majorEastAsia"/>
        </w:rPr>
        <w:t>农事安排</w:t>
      </w:r>
      <w:r>
        <w:rPr>
          <w:rFonts w:asciiTheme="majorEastAsia" w:hAnsiTheme="majorEastAsia" w:eastAsiaTheme="majorEastAsia" w:cstheme="majorEastAsia"/>
        </w:rPr>
        <w:t>)</w:t>
      </w:r>
      <w:r>
        <w:rPr>
          <w:rFonts w:hint="eastAsia" w:asciiTheme="majorEastAsia" w:hAnsiTheme="majorEastAsia" w:eastAsiaTheme="majorEastAsia" w:cstheme="majorEastAsia"/>
        </w:rPr>
        <w:t>示意图，完成22——23题。</w:t>
      </w:r>
    </w:p>
    <w:p>
      <w:pPr>
        <w:pStyle w:val="4"/>
        <w:tabs>
          <w:tab w:val="left" w:pos="3780"/>
        </w:tabs>
        <w:snapToGrid w:val="0"/>
        <w:spacing w:line="360" w:lineRule="auto"/>
        <w:jc w:val="left"/>
        <w:rPr>
          <w:rFonts w:asciiTheme="majorEastAsia" w:hAnsiTheme="majorEastAsia" w:eastAsiaTheme="majorEastAsia" w:cstheme="majorEastAsia"/>
        </w:rPr>
      </w:pPr>
      <w:r>
        <w:rPr>
          <w:rFonts w:hint="eastAsia" w:asciiTheme="majorEastAsia" w:hAnsiTheme="majorEastAsia" w:eastAsiaTheme="majorEastAsia" w:cstheme="majorEastAsia"/>
        </w:rPr>
        <w:t>22．该农场的农业地域类型为</w:t>
      </w:r>
      <w:r>
        <w:rPr>
          <w:rFonts w:asciiTheme="majorEastAsia" w:hAnsiTheme="majorEastAsia" w:eastAsiaTheme="majorEastAsia" w:cstheme="majorEastAsia"/>
        </w:rPr>
        <w:t>(</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A</w:t>
      </w:r>
      <w:r>
        <w:rPr>
          <w:rFonts w:hint="eastAsia" w:asciiTheme="majorEastAsia" w:hAnsiTheme="majorEastAsia" w:eastAsiaTheme="majorEastAsia" w:cstheme="majorEastAsia"/>
        </w:rPr>
        <w:t>．水稻种植业</w:t>
      </w:r>
      <w:r>
        <w:rPr>
          <w:rFonts w:asciiTheme="majorEastAsia" w:hAnsiTheme="majorEastAsia" w:eastAsiaTheme="majorEastAsia" w:cstheme="majorEastAsia"/>
        </w:rPr>
        <w:t xml:space="preserve">  </w:t>
      </w:r>
      <w:r>
        <w:rPr>
          <w:rFonts w:hint="eastAsia" w:asciiTheme="majorEastAsia" w:hAnsiTheme="majorEastAsia" w:eastAsiaTheme="majorEastAsia" w:cstheme="majorEastAsia"/>
        </w:rPr>
        <w:tab/>
      </w:r>
      <w:r>
        <w:rPr>
          <w:rFonts w:asciiTheme="majorEastAsia" w:hAnsiTheme="majorEastAsia" w:eastAsiaTheme="majorEastAsia" w:cstheme="majorEastAsia"/>
        </w:rPr>
        <w:t>B</w:t>
      </w:r>
      <w:r>
        <w:rPr>
          <w:rFonts w:hint="eastAsia" w:asciiTheme="majorEastAsia" w:hAnsiTheme="majorEastAsia" w:eastAsiaTheme="majorEastAsia" w:cstheme="majorEastAsia"/>
        </w:rPr>
        <w:t>．大牧场放牧业</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C</w:t>
      </w:r>
      <w:r>
        <w:rPr>
          <w:rFonts w:hint="eastAsia" w:asciiTheme="majorEastAsia" w:hAnsiTheme="majorEastAsia" w:eastAsiaTheme="majorEastAsia" w:cstheme="majorEastAsia"/>
        </w:rPr>
        <w:t>．商品谷物农业</w:t>
      </w:r>
      <w:r>
        <w:rPr>
          <w:rFonts w:asciiTheme="majorEastAsia" w:hAnsiTheme="majorEastAsia" w:eastAsiaTheme="majorEastAsia" w:cstheme="majorEastAsia"/>
        </w:rPr>
        <w:t xml:space="preserve">  </w:t>
      </w:r>
      <w:r>
        <w:rPr>
          <w:rFonts w:hint="eastAsia" w:asciiTheme="majorEastAsia" w:hAnsiTheme="majorEastAsia" w:eastAsiaTheme="majorEastAsia" w:cstheme="majorEastAsia"/>
        </w:rPr>
        <w:tab/>
      </w:r>
      <w:r>
        <w:rPr>
          <w:rFonts w:asciiTheme="majorEastAsia" w:hAnsiTheme="majorEastAsia" w:eastAsiaTheme="majorEastAsia" w:cstheme="majorEastAsia"/>
        </w:rPr>
        <w:t>D</w:t>
      </w:r>
      <w:r>
        <w:rPr>
          <w:rFonts w:hint="eastAsia" w:asciiTheme="majorEastAsia" w:hAnsiTheme="majorEastAsia" w:eastAsiaTheme="majorEastAsia" w:cstheme="majorEastAsia"/>
        </w:rPr>
        <w:t>．混合农业</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t>23．该农业地域类型的主要特点是</w:t>
      </w:r>
      <w:r>
        <w:rPr>
          <w:rFonts w:asciiTheme="majorEastAsia" w:hAnsiTheme="majorEastAsia" w:eastAsiaTheme="majorEastAsia" w:cstheme="majorEastAsia"/>
        </w:rPr>
        <w:t>(</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A</w:t>
      </w:r>
      <w:r>
        <w:rPr>
          <w:rFonts w:hint="eastAsia" w:asciiTheme="majorEastAsia" w:hAnsiTheme="majorEastAsia" w:eastAsiaTheme="majorEastAsia" w:cstheme="majorEastAsia"/>
        </w:rPr>
        <w:t>．单位面积产量高，但商品率低</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B</w:t>
      </w:r>
      <w:r>
        <w:rPr>
          <w:rFonts w:hint="eastAsia" w:asciiTheme="majorEastAsia" w:hAnsiTheme="majorEastAsia" w:eastAsiaTheme="majorEastAsia" w:cstheme="majorEastAsia"/>
        </w:rPr>
        <w:t>．生产规模大，机械化程度高</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C</w:t>
      </w:r>
      <w:r>
        <w:rPr>
          <w:rFonts w:hint="eastAsia" w:asciiTheme="majorEastAsia" w:hAnsiTheme="majorEastAsia" w:eastAsiaTheme="majorEastAsia" w:cstheme="majorEastAsia"/>
        </w:rPr>
        <w:t>．市场和饲料是形成该农业类型的主要因素</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D</w:t>
      </w:r>
      <w:r>
        <w:rPr>
          <w:rFonts w:hint="eastAsia" w:asciiTheme="majorEastAsia" w:hAnsiTheme="majorEastAsia" w:eastAsiaTheme="majorEastAsia" w:cstheme="majorEastAsia"/>
        </w:rPr>
        <w:t>．经营方式多为国有大型农场</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西班牙耕地面积占国土总面积的40%，以旱作农业为主。20世纪80年代开始，西班牙大力推广农业机械化，提高灌溉技术，扩大耕地灌溉面积，使大麦、小麦、水稻等粮食作物产量大增，占农业产值比重曾高达80%以上。欧盟正式成立后，西班牙政府调整农业种植结构，大力发展蔬菜、花卉、果树等园艺业，与法国形成农业一体化，农产品主要面向欧盟市场，成为“欧洲菜园”，园艺业产值达到农业产值的40%以上。据此完成</w:t>
      </w:r>
      <w:r>
        <w:rPr>
          <w:rFonts w:hint="eastAsia" w:asciiTheme="majorEastAsia" w:hAnsiTheme="majorEastAsia" w:eastAsiaTheme="majorEastAsia" w:cstheme="majorEastAsia"/>
        </w:rPr>
        <w:t>24——25</w:t>
      </w:r>
      <w:r>
        <w:rPr>
          <w:rFonts w:asciiTheme="majorEastAsia" w:hAnsiTheme="majorEastAsia" w:eastAsiaTheme="majorEastAsia" w:cstheme="majorEastAsia"/>
        </w:rPr>
        <w:t>题。</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t>24</w:t>
      </w:r>
      <w:r>
        <w:rPr>
          <w:rFonts w:asciiTheme="majorEastAsia" w:hAnsiTheme="majorEastAsia" w:eastAsiaTheme="majorEastAsia" w:cstheme="majorEastAsia"/>
        </w:rPr>
        <w:t>.促使西班牙调整农业种植结构的主要原因是(</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A．市场需求的变化</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B．农业技术的发展</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C．小麦产量降低</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D．气候条件的变化</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hint="eastAsia" w:asciiTheme="majorEastAsia" w:hAnsiTheme="majorEastAsia" w:eastAsiaTheme="majorEastAsia" w:cstheme="majorEastAsia"/>
        </w:rPr>
        <w:t>25</w:t>
      </w:r>
      <w:r>
        <w:rPr>
          <w:rFonts w:asciiTheme="majorEastAsia" w:hAnsiTheme="majorEastAsia" w:eastAsiaTheme="majorEastAsia" w:cstheme="majorEastAsia"/>
        </w:rPr>
        <w:t>.与法国相比，西班牙发展园艺业的优势是(</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A</w:t>
      </w:r>
      <w:r>
        <w:rPr>
          <w:rFonts w:hint="eastAsia" w:asciiTheme="majorEastAsia" w:hAnsiTheme="majorEastAsia" w:eastAsiaTheme="majorEastAsia" w:cstheme="majorEastAsia"/>
        </w:rPr>
        <w:t>．</w:t>
      </w:r>
      <w:r>
        <w:rPr>
          <w:rFonts w:asciiTheme="majorEastAsia" w:hAnsiTheme="majorEastAsia" w:eastAsiaTheme="majorEastAsia" w:cstheme="majorEastAsia"/>
        </w:rPr>
        <w:t>接近消费市场</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B．技术水平高</w:t>
      </w:r>
    </w:p>
    <w:p>
      <w:pPr>
        <w:pStyle w:val="4"/>
        <w:tabs>
          <w:tab w:val="left" w:pos="3780"/>
        </w:tabs>
        <w:snapToGrid w:val="0"/>
        <w:spacing w:line="360" w:lineRule="auto"/>
        <w:ind w:left="105" w:leftChars="50"/>
        <w:jc w:val="left"/>
        <w:rPr>
          <w:rFonts w:asciiTheme="majorEastAsia" w:hAnsiTheme="majorEastAsia" w:eastAsiaTheme="majorEastAsia" w:cstheme="majorEastAsia"/>
        </w:rPr>
      </w:pPr>
      <w:r>
        <w:rPr>
          <w:rFonts w:asciiTheme="majorEastAsia" w:hAnsiTheme="majorEastAsia" w:eastAsiaTheme="majorEastAsia" w:cstheme="majorEastAsia"/>
        </w:rPr>
        <w:t>C．交通运输便利</w:t>
      </w:r>
      <w:r>
        <w:rPr>
          <w:rFonts w:hint="eastAsia" w:asciiTheme="majorEastAsia" w:hAnsiTheme="majorEastAsia" w:eastAsiaTheme="majorEastAsia" w:cstheme="majorEastAsia"/>
        </w:rPr>
        <w:t xml:space="preserve">              </w:t>
      </w:r>
      <w:r>
        <w:rPr>
          <w:rFonts w:asciiTheme="majorEastAsia" w:hAnsiTheme="majorEastAsia" w:eastAsiaTheme="majorEastAsia" w:cstheme="majorEastAsia"/>
        </w:rPr>
        <w:t>D．低温冷害少</w:t>
      </w:r>
    </w:p>
    <w:p>
      <w:pPr>
        <w:spacing w:line="360" w:lineRule="auto"/>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二、综合题：（共4小题，50分）</w:t>
      </w:r>
    </w:p>
    <w:p>
      <w:pPr>
        <w:spacing w:line="360" w:lineRule="auto"/>
        <w:jc w:val="left"/>
        <w:textAlignment w:val="center"/>
        <w:rPr>
          <w:rFonts w:ascii="宋体" w:hAnsi="宋体" w:eastAsia="宋体" w:cs="宋体"/>
          <w:color w:val="000000"/>
        </w:rPr>
      </w:pPr>
      <w:r>
        <w:rPr>
          <w:rFonts w:hint="eastAsia" w:asciiTheme="majorEastAsia" w:hAnsiTheme="majorEastAsia" w:eastAsiaTheme="majorEastAsia" w:cstheme="majorEastAsia"/>
          <w:szCs w:val="21"/>
        </w:rPr>
        <w:t>26.</w:t>
      </w:r>
      <w:r>
        <w:rPr>
          <w:rFonts w:ascii="宋体" w:hAnsi="宋体" w:eastAsia="宋体" w:cs="宋体"/>
          <w:color w:val="000000"/>
        </w:rPr>
        <w:t>读图甲和图乙，完成下列各题。</w:t>
      </w:r>
      <w:r>
        <w:rPr>
          <w:rFonts w:hint="eastAsia" w:ascii="宋体" w:hAnsi="宋体" w:eastAsia="宋体" w:cs="宋体"/>
          <w:color w:val="000000"/>
        </w:rPr>
        <w:t>（12分）</w:t>
      </w:r>
    </w:p>
    <w:p>
      <w:pPr>
        <w:spacing w:line="360" w:lineRule="auto"/>
        <w:jc w:val="left"/>
        <w:textAlignment w:val="center"/>
        <w:rPr>
          <w:color w:val="000000"/>
        </w:rPr>
      </w:pPr>
      <w:r>
        <w:rPr>
          <w:color w:val="000000"/>
        </w:rPr>
        <w:t xml:space="preserve">    </w:t>
      </w:r>
      <w:r>
        <w:rPr>
          <w:rFonts w:ascii="宋体" w:hAnsi="宋体" w:eastAsia="宋体" w:cs="宋体"/>
          <w:color w:val="000000"/>
        </w:rPr>
        <w:drawing>
          <wp:inline distT="0" distB="0" distL="0" distR="0">
            <wp:extent cx="4547870" cy="1653540"/>
            <wp:effectExtent l="0" t="0" r="5080" b="3810"/>
            <wp:docPr id="52" name="图片 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 "/>
                    <pic:cNvPicPr>
                      <a:picLocks noChangeAspect="1" noChangeArrowheads="1"/>
                    </pic:cNvPicPr>
                  </pic:nvPicPr>
                  <pic:blipFill>
                    <a:blip r:embed="rId14" cstate="print"/>
                    <a:stretch>
                      <a:fillRect/>
                    </a:stretch>
                  </pic:blipFill>
                  <pic:spPr>
                    <a:xfrm>
                      <a:off x="0" y="0"/>
                      <a:ext cx="4546869" cy="1653407"/>
                    </a:xfrm>
                    <a:prstGeom prst="rect">
                      <a:avLst/>
                    </a:prstGeom>
                    <a:noFill/>
                    <a:ln w="9525">
                      <a:noFill/>
                      <a:miter lim="800000"/>
                      <a:headEnd/>
                      <a:tailEnd/>
                    </a:ln>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（1）图甲中，ABCDE反映的是</w:t>
      </w:r>
      <w:r>
        <w:rPr>
          <w:rFonts w:ascii="宋体" w:hAnsi="宋体" w:eastAsia="宋体" w:cs="宋体"/>
          <w:color w:val="000000"/>
          <w:u w:val="single"/>
        </w:rPr>
        <w:t xml:space="preserve">         </w:t>
      </w:r>
      <w:r>
        <w:rPr>
          <w:rFonts w:ascii="宋体" w:hAnsi="宋体" w:eastAsia="宋体" w:cs="宋体"/>
          <w:color w:val="000000"/>
        </w:rPr>
        <w:t>过程，该过程的主要标志是</w:t>
      </w:r>
      <w:r>
        <w:rPr>
          <w:rFonts w:ascii="宋体" w:hAnsi="宋体" w:eastAsia="宋体" w:cs="宋体"/>
          <w:color w:val="000000"/>
          <w:u w:val="single"/>
        </w:rPr>
        <w:t xml:space="preserve">    </w:t>
      </w:r>
      <w:r>
        <w:rPr>
          <w:rFonts w:hint="eastAsia" w:ascii="宋体" w:hAnsi="宋体" w:eastAsia="宋体" w:cs="宋体"/>
          <w:color w:val="000000"/>
          <w:u w:val="single"/>
        </w:rPr>
        <w:t xml:space="preserve">                                                            </w:t>
      </w:r>
      <w:r>
        <w:rPr>
          <w:rFonts w:ascii="宋体" w:hAnsi="宋体" w:eastAsia="宋体" w:cs="宋体"/>
          <w:color w:val="000000"/>
          <w:u w:val="single"/>
        </w:rPr>
        <w:t xml:space="preserve">     </w:t>
      </w:r>
      <w:r>
        <w:rPr>
          <w:rFonts w:ascii="宋体" w:hAnsi="宋体" w:eastAsia="宋体" w:cs="宋体"/>
          <w:color w:val="000000"/>
        </w:rPr>
        <w:t xml:space="preserve">。 </w:t>
      </w:r>
      <w:r>
        <w:rPr>
          <w:rFonts w:hint="eastAsia" w:ascii="宋体" w:hAnsi="宋体" w:eastAsia="宋体" w:cs="宋体"/>
          <w:color w:val="000000"/>
        </w:rPr>
        <w:t>（4分）</w:t>
      </w:r>
    </w:p>
    <w:p>
      <w:pPr>
        <w:spacing w:line="360" w:lineRule="auto"/>
        <w:jc w:val="left"/>
        <w:textAlignment w:val="center"/>
        <w:rPr>
          <w:rFonts w:ascii="宋体" w:hAnsi="宋体" w:eastAsia="宋体" w:cs="宋体"/>
          <w:color w:val="000000"/>
        </w:rPr>
      </w:pPr>
      <w:r>
        <w:rPr>
          <w:rFonts w:ascii="宋体" w:hAnsi="宋体" w:eastAsia="宋体" w:cs="宋体"/>
          <w:color w:val="000000"/>
        </w:rPr>
        <w:t>（2）图甲中E—F所反映的现象为</w:t>
      </w:r>
      <w:r>
        <w:rPr>
          <w:rFonts w:ascii="宋体" w:hAnsi="宋体" w:eastAsia="宋体" w:cs="宋体"/>
          <w:color w:val="000000"/>
          <w:u w:val="single"/>
        </w:rPr>
        <w:t xml:space="preserve">        </w:t>
      </w:r>
      <w:r>
        <w:rPr>
          <w:rFonts w:hint="eastAsia" w:ascii="宋体" w:hAnsi="宋体" w:eastAsia="宋体" w:cs="宋体"/>
          <w:color w:val="000000"/>
          <w:u w:val="single"/>
        </w:rPr>
        <w:t xml:space="preserve">                  </w:t>
      </w:r>
      <w:r>
        <w:rPr>
          <w:rFonts w:ascii="宋体" w:hAnsi="宋体" w:eastAsia="宋体" w:cs="宋体"/>
          <w:color w:val="000000"/>
          <w:u w:val="single"/>
        </w:rPr>
        <w:t xml:space="preserve"> </w:t>
      </w:r>
      <w:r>
        <w:rPr>
          <w:rFonts w:ascii="宋体" w:hAnsi="宋体" w:eastAsia="宋体" w:cs="宋体"/>
          <w:color w:val="000000"/>
        </w:rPr>
        <w:t>，简述其成因。</w:t>
      </w:r>
      <w:r>
        <w:rPr>
          <w:rFonts w:hint="eastAsia" w:ascii="宋体" w:hAnsi="宋体" w:eastAsia="宋体" w:cs="宋体"/>
          <w:color w:val="000000"/>
        </w:rPr>
        <w:t>（4分）</w:t>
      </w:r>
    </w:p>
    <w:p>
      <w:pPr>
        <w:spacing w:line="360" w:lineRule="auto"/>
        <w:jc w:val="left"/>
        <w:textAlignment w:val="center"/>
        <w:rPr>
          <w:rFonts w:ascii="宋体" w:hAnsi="宋体" w:eastAsia="宋体" w:cs="宋体"/>
          <w:color w:val="000000"/>
        </w:rPr>
      </w:pP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 </w:t>
      </w:r>
    </w:p>
    <w:p>
      <w:pPr>
        <w:spacing w:line="360" w:lineRule="auto"/>
        <w:jc w:val="left"/>
        <w:textAlignment w:val="center"/>
        <w:rPr>
          <w:rFonts w:ascii="宋体" w:hAnsi="宋体" w:eastAsia="宋体" w:cs="宋体"/>
          <w:color w:val="000000"/>
          <w:u w:val="single"/>
        </w:rPr>
      </w:pPr>
      <w:r>
        <w:rPr>
          <w:rFonts w:ascii="宋体" w:hAnsi="宋体" w:eastAsia="宋体" w:cs="宋体"/>
          <w:color w:val="000000"/>
        </w:rPr>
        <w:t>（3）依据经济发展水平的差异，世界上的国家和地区分为两种类型。指出图乙中甲属于</w:t>
      </w:r>
      <w:r>
        <w:rPr>
          <w:rFonts w:ascii="宋体" w:hAnsi="宋体" w:eastAsia="宋体" w:cs="宋体"/>
          <w:color w:val="000000"/>
          <w:u w:val="single"/>
        </w:rPr>
        <w:t xml:space="preserve"> </w:t>
      </w:r>
      <w:r>
        <w:rPr>
          <w:rFonts w:hint="eastAsia" w:ascii="宋体" w:hAnsi="宋体" w:eastAsia="宋体" w:cs="宋体"/>
          <w:color w:val="000000"/>
          <w:u w:val="single"/>
        </w:rPr>
        <w:t xml:space="preserve">   </w:t>
      </w:r>
    </w:p>
    <w:p>
      <w:pPr>
        <w:spacing w:line="360" w:lineRule="auto"/>
        <w:jc w:val="left"/>
        <w:textAlignment w:val="center"/>
        <w:rPr>
          <w:rFonts w:ascii="宋体" w:hAnsi="宋体" w:eastAsia="宋体" w:cs="宋体"/>
          <w:color w:val="000000"/>
        </w:rPr>
      </w:pPr>
      <w:r>
        <w:rPr>
          <w:rFonts w:ascii="宋体" w:hAnsi="宋体" w:eastAsia="宋体" w:cs="宋体"/>
          <w:color w:val="000000"/>
          <w:u w:val="single"/>
        </w:rPr>
        <w:t xml:space="preserve">     </w:t>
      </w:r>
      <w:r>
        <w:rPr>
          <w:rFonts w:hint="eastAsia" w:ascii="宋体" w:hAnsi="宋体" w:eastAsia="宋体" w:cs="宋体"/>
          <w:color w:val="000000"/>
          <w:u w:val="single"/>
        </w:rPr>
        <w:t xml:space="preserve">   </w:t>
      </w:r>
      <w:r>
        <w:rPr>
          <w:rFonts w:ascii="宋体" w:hAnsi="宋体" w:eastAsia="宋体" w:cs="宋体"/>
          <w:color w:val="000000"/>
          <w:u w:val="single"/>
        </w:rPr>
        <w:t xml:space="preserve">   </w:t>
      </w:r>
      <w:r>
        <w:rPr>
          <w:rFonts w:ascii="宋体" w:hAnsi="宋体" w:eastAsia="宋体" w:cs="宋体"/>
          <w:color w:val="000000"/>
        </w:rPr>
        <w:t>国家，乙属于</w:t>
      </w:r>
      <w:r>
        <w:rPr>
          <w:rFonts w:ascii="宋体" w:hAnsi="宋体" w:eastAsia="宋体" w:cs="宋体"/>
          <w:color w:val="000000"/>
          <w:u w:val="single"/>
        </w:rPr>
        <w:t xml:space="preserve">         </w:t>
      </w:r>
      <w:r>
        <w:rPr>
          <w:rFonts w:ascii="宋体" w:hAnsi="宋体" w:eastAsia="宋体" w:cs="宋体"/>
          <w:color w:val="000000"/>
        </w:rPr>
        <w:t>国家。分别说明其劳动力就业结构特点。</w:t>
      </w:r>
      <w:r>
        <w:rPr>
          <w:rFonts w:hint="eastAsia" w:ascii="宋体" w:hAnsi="宋体" w:eastAsia="宋体" w:cs="宋体"/>
          <w:color w:val="000000"/>
        </w:rPr>
        <w:t>（4分）</w:t>
      </w:r>
    </w:p>
    <w:p>
      <w:pPr>
        <w:spacing w:line="360" w:lineRule="auto"/>
        <w:ind w:left="273" w:hanging="273" w:hangingChars="130"/>
        <w:textAlignment w:val="center"/>
        <w:rPr>
          <w:rFonts w:ascii="Times New Roman" w:hAnsi="Times New Roman" w:eastAsia="新宋体"/>
          <w:szCs w:val="21"/>
        </w:rPr>
      </w:pPr>
      <w:r>
        <w:rPr>
          <w:rFonts w:hint="eastAsia" w:ascii="Times New Roman" w:hAnsi="Times New Roman" w:eastAsia="新宋体"/>
          <w:szCs w:val="21"/>
        </w:rPr>
        <w:t>27.下图为我国江西省地形分布图和南昌气候资料，读图回答下列问题。(12分)</w:t>
      </w:r>
    </w:p>
    <w:p>
      <w:pPr>
        <w:spacing w:line="360" w:lineRule="auto"/>
        <w:ind w:left="273" w:hanging="273" w:hangingChars="130"/>
        <w:textAlignment w:val="center"/>
        <w:rPr>
          <w:szCs w:val="21"/>
        </w:rPr>
      </w:pPr>
      <w:r>
        <w:rPr>
          <w:szCs w:val="21"/>
        </w:rPr>
        <w:drawing>
          <wp:inline distT="0" distB="0" distL="0" distR="0">
            <wp:extent cx="4800600" cy="2428875"/>
            <wp:effectExtent l="0" t="0" r="0" b="9525"/>
            <wp:docPr id="65" name="图片 6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 "/>
                    <pic:cNvPicPr>
                      <a:picLocks noChangeAspect="1" noChangeArrowheads="1"/>
                    </pic:cNvPicPr>
                  </pic:nvPicPr>
                  <pic:blipFill>
                    <a:blip r:embed="rId15" cstate="print"/>
                    <a:stretch>
                      <a:fillRect/>
                    </a:stretch>
                  </pic:blipFill>
                  <pic:spPr>
                    <a:xfrm>
                      <a:off x="0" y="0"/>
                      <a:ext cx="4800600" cy="2428875"/>
                    </a:xfrm>
                    <a:prstGeom prst="rect">
                      <a:avLst/>
                    </a:prstGeom>
                    <a:noFill/>
                    <a:ln w="9525">
                      <a:noFill/>
                      <a:miter lim="800000"/>
                      <a:headEnd/>
                      <a:tailEnd/>
                    </a:ln>
                  </pic:spPr>
                </pic:pic>
              </a:graphicData>
            </a:graphic>
          </wp:inline>
        </w:drawing>
      </w:r>
    </w:p>
    <w:p>
      <w:pPr>
        <w:spacing w:line="360" w:lineRule="auto"/>
        <w:textAlignment w:val="center"/>
        <w:rPr>
          <w:rFonts w:ascii="Times New Roman" w:hAnsi="Times New Roman" w:eastAsia="新宋体"/>
          <w:szCs w:val="21"/>
          <w:u w:val="single"/>
        </w:rPr>
      </w:pPr>
      <w:r>
        <w:rPr>
          <w:rFonts w:hint="eastAsia" w:ascii="Times New Roman" w:hAnsi="Times New Roman" w:eastAsia="新宋体"/>
          <w:szCs w:val="21"/>
        </w:rPr>
        <w:t>（1）江西省南部地区的环境人口容量</w:t>
      </w:r>
      <w:r>
        <w:rPr>
          <w:rFonts w:hint="eastAsia" w:ascii="Times New Roman" w:hAnsi="Times New Roman" w:eastAsia="新宋体"/>
          <w:szCs w:val="21"/>
          <w:u w:val="single"/>
        </w:rPr>
        <w:t xml:space="preserve">         </w:t>
      </w:r>
      <w:r>
        <w:rPr>
          <w:rFonts w:hint="eastAsia" w:ascii="Times New Roman" w:hAnsi="Times New Roman" w:eastAsia="新宋体"/>
          <w:szCs w:val="21"/>
        </w:rPr>
        <w:t>（小、大）于北部地区，主要原因是</w:t>
      </w:r>
      <w:r>
        <w:rPr>
          <w:rFonts w:hint="eastAsia" w:ascii="Times New Roman" w:hAnsi="Times New Roman" w:eastAsia="新宋体"/>
          <w:szCs w:val="21"/>
          <w:u w:val="single"/>
        </w:rPr>
        <w:t xml:space="preserve">   </w:t>
      </w:r>
    </w:p>
    <w:p>
      <w:pPr>
        <w:spacing w:line="360" w:lineRule="auto"/>
        <w:textAlignment w:val="center"/>
        <w:rPr>
          <w:rFonts w:ascii="Times New Roman" w:hAnsi="Times New Roman" w:eastAsia="新宋体"/>
          <w:szCs w:val="21"/>
          <w:u w:val="single"/>
        </w:rPr>
      </w:pPr>
      <w:r>
        <w:rPr>
          <w:rFonts w:hint="eastAsia" w:ascii="Times New Roman" w:hAnsi="Times New Roman" w:eastAsia="新宋体"/>
          <w:szCs w:val="21"/>
          <w:u w:val="single"/>
        </w:rPr>
        <w:t xml:space="preserve">                                                                              </w:t>
      </w:r>
    </w:p>
    <w:p>
      <w:pPr>
        <w:spacing w:line="360" w:lineRule="auto"/>
        <w:textAlignment w:val="center"/>
        <w:rPr>
          <w:szCs w:val="21"/>
        </w:rPr>
      </w:pPr>
      <w:r>
        <w:rPr>
          <w:rFonts w:hint="eastAsia" w:ascii="Times New Roman" w:hAnsi="Times New Roman" w:eastAsia="新宋体"/>
          <w:szCs w:val="21"/>
          <w:u w:val="single"/>
        </w:rPr>
        <w:t xml:space="preserve">                                                                       </w:t>
      </w:r>
      <w:r>
        <w:rPr>
          <w:rFonts w:hint="eastAsia" w:ascii="Times New Roman" w:hAnsi="Times New Roman" w:eastAsia="新宋体"/>
          <w:szCs w:val="21"/>
        </w:rPr>
        <w:t>。(4分)</w:t>
      </w:r>
    </w:p>
    <w:p>
      <w:pPr>
        <w:spacing w:line="360" w:lineRule="auto"/>
        <w:textAlignment w:val="center"/>
        <w:rPr>
          <w:rFonts w:ascii="Times New Roman" w:hAnsi="Times New Roman" w:eastAsia="新宋体"/>
          <w:szCs w:val="21"/>
        </w:rPr>
      </w:pPr>
      <w:r>
        <w:rPr>
          <w:rFonts w:hint="eastAsia" w:ascii="Times New Roman" w:hAnsi="Times New Roman" w:eastAsia="新宋体"/>
          <w:szCs w:val="21"/>
        </w:rPr>
        <w:t>（2）江西省北部平原地区是我国著名水稻产区，指出该地种植水稻的主要区位优势。（6分）</w:t>
      </w:r>
    </w:p>
    <w:p>
      <w:pPr>
        <w:spacing w:line="360" w:lineRule="auto"/>
        <w:textAlignment w:val="center"/>
        <w:rPr>
          <w:szCs w:val="21"/>
        </w:rPr>
      </w:pPr>
    </w:p>
    <w:p>
      <w:pPr>
        <w:spacing w:line="360" w:lineRule="auto"/>
        <w:textAlignment w:val="center"/>
        <w:rPr>
          <w:szCs w:val="21"/>
        </w:rPr>
      </w:pPr>
    </w:p>
    <w:p>
      <w:pPr>
        <w:spacing w:line="360" w:lineRule="auto"/>
        <w:textAlignment w:val="center"/>
        <w:rPr>
          <w:szCs w:val="21"/>
        </w:rPr>
      </w:pPr>
    </w:p>
    <w:p>
      <w:pPr>
        <w:spacing w:line="360" w:lineRule="auto"/>
        <w:textAlignment w:val="center"/>
        <w:rPr>
          <w:rFonts w:ascii="Times New Roman" w:hAnsi="Times New Roman" w:eastAsia="新宋体"/>
          <w:szCs w:val="21"/>
        </w:rPr>
      </w:pPr>
      <w:r>
        <w:rPr>
          <w:rFonts w:hint="eastAsia" w:ascii="Times New Roman" w:hAnsi="Times New Roman" w:eastAsia="新宋体"/>
          <w:szCs w:val="21"/>
        </w:rPr>
        <w:t>（3）江西省赣州市素有“橙乡”的美称。试分析贛州脐橙远销我国东北地区的主要原因。（2分）</w:t>
      </w:r>
    </w:p>
    <w:p>
      <w:pPr>
        <w:spacing w:line="360" w:lineRule="auto"/>
        <w:textAlignment w:val="center"/>
        <w:rPr>
          <w:rFonts w:ascii="Times New Roman" w:hAnsi="Times New Roman" w:eastAsia="新宋体"/>
          <w:szCs w:val="21"/>
        </w:rPr>
      </w:pPr>
    </w:p>
    <w:p>
      <w:pPr>
        <w:spacing w:line="360" w:lineRule="auto"/>
        <w:textAlignment w:val="center"/>
        <w:rPr>
          <w:rFonts w:ascii="Times New Roman" w:hAnsi="Times New Roman" w:eastAsia="新宋体"/>
          <w:szCs w:val="21"/>
        </w:rPr>
      </w:pPr>
    </w:p>
    <w:p>
      <w:pPr>
        <w:spacing w:line="360" w:lineRule="auto"/>
        <w:textAlignment w:val="center"/>
        <w:rPr>
          <w:rFonts w:ascii="Times New Roman" w:hAnsi="Times New Roman" w:eastAsia="新宋体"/>
          <w:szCs w:val="21"/>
        </w:rPr>
      </w:pPr>
    </w:p>
    <w:p>
      <w:pPr>
        <w:spacing w:line="360" w:lineRule="auto"/>
        <w:textAlignment w:val="center"/>
        <w:rPr>
          <w:szCs w:val="21"/>
        </w:rPr>
      </w:pPr>
    </w:p>
    <w:p>
      <w:pPr>
        <w:spacing w:line="360" w:lineRule="auto"/>
      </w:pPr>
      <w:r>
        <w:rPr>
          <w:rFonts w:hint="eastAsia" w:ascii="宋体" w:hAnsi="宋体" w:eastAsia="宋体" w:cs="宋体"/>
          <w:color w:val="000000" w:themeColor="text1"/>
          <w:kern w:val="0"/>
          <w:szCs w:val="21"/>
          <w14:textFill>
            <w14:solidFill>
              <w14:schemeClr w14:val="tx1"/>
            </w14:solidFill>
          </w14:textFill>
        </w:rPr>
        <w:t>28．</w:t>
      </w:r>
      <w:r>
        <w:t>阅读材料，回答下列问题。（</w:t>
      </w:r>
      <w:r>
        <w:rPr>
          <w:rFonts w:hint="eastAsia"/>
        </w:rPr>
        <w:t>13</w:t>
      </w:r>
      <w:r>
        <w:t>分）</w:t>
      </w:r>
    </w:p>
    <w:p>
      <w:pPr>
        <w:spacing w:line="360" w:lineRule="auto"/>
      </w:pPr>
      <w:r>
        <w:tab/>
      </w:r>
      <w:r>
        <w:t>材料一  美国和中国东北地区农业分布示意图。</w:t>
      </w:r>
    </w:p>
    <w:p>
      <w:pPr>
        <w:spacing w:line="360" w:lineRule="auto"/>
      </w:pPr>
      <w:r>
        <w:rPr>
          <w:rFonts w:hint="eastAsia"/>
        </w:rPr>
        <w:drawing>
          <wp:inline distT="0" distB="0" distL="0" distR="0">
            <wp:extent cx="3916680" cy="1873250"/>
            <wp:effectExtent l="0" t="0" r="7620" b="12700"/>
            <wp:docPr id="2"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 "/>
                    <pic:cNvPicPr>
                      <a:picLocks noChangeAspect="1" noChangeArrowheads="1"/>
                    </pic:cNvPicPr>
                  </pic:nvPicPr>
                  <pic:blipFill>
                    <a:blip r:embed="rId16" cstate="print"/>
                    <a:stretch>
                      <a:fillRect/>
                    </a:stretch>
                  </pic:blipFill>
                  <pic:spPr>
                    <a:xfrm>
                      <a:off x="0" y="0"/>
                      <a:ext cx="3919398" cy="1875052"/>
                    </a:xfrm>
                    <a:prstGeom prst="rect">
                      <a:avLst/>
                    </a:prstGeom>
                    <a:noFill/>
                    <a:ln w="9525">
                      <a:noFill/>
                      <a:miter lim="800000"/>
                      <a:headEnd/>
                      <a:tailEnd/>
                    </a:ln>
                  </pic:spPr>
                </pic:pic>
              </a:graphicData>
            </a:graphic>
          </wp:inline>
        </w:drawing>
      </w:r>
      <w:r>
        <w:t xml:space="preserve"> </w:t>
      </w:r>
    </w:p>
    <w:p>
      <w:pPr>
        <w:spacing w:line="360" w:lineRule="auto"/>
      </w:pPr>
      <w:r>
        <w:tab/>
      </w:r>
      <w:r>
        <w:t>材料二  玉米是世界上分布最广泛的粮食作物之一，从北纬58°到南纬35°～40°之间的地区，均</w:t>
      </w:r>
      <w:r>
        <w:tab/>
      </w:r>
      <w:r>
        <w:t>有大量栽培。下表为美国和我国玉米带的比较。</w:t>
      </w:r>
    </w:p>
    <w:tbl>
      <w:tblPr>
        <w:tblStyle w:val="2"/>
        <w:tblW w:w="54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7"/>
        <w:gridCol w:w="1842"/>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87" w:type="dxa"/>
            <w:tcBorders>
              <w:top w:val="single" w:color="000000" w:sz="6" w:space="0"/>
              <w:left w:val="single" w:color="000000" w:sz="6" w:space="0"/>
              <w:bottom w:val="single" w:color="000000" w:sz="6" w:space="0"/>
              <w:right w:val="single" w:color="000000" w:sz="6" w:space="0"/>
            </w:tcBorders>
            <w:tcMar>
              <w:top w:w="75" w:type="dxa"/>
              <w:left w:w="108" w:type="dxa"/>
              <w:bottom w:w="75" w:type="dxa"/>
              <w:right w:w="108" w:type="dxa"/>
            </w:tcMar>
            <w:vAlign w:val="center"/>
          </w:tcPr>
          <w:p>
            <w:pPr>
              <w:spacing w:line="360" w:lineRule="auto"/>
            </w:pPr>
            <w:r>
              <w:t>项目</w:t>
            </w:r>
          </w:p>
        </w:tc>
        <w:tc>
          <w:tcPr>
            <w:tcW w:w="1842" w:type="dxa"/>
            <w:tcBorders>
              <w:top w:val="single" w:color="000000" w:sz="6" w:space="0"/>
              <w:left w:val="nil"/>
              <w:bottom w:val="single" w:color="000000" w:sz="6" w:space="0"/>
              <w:right w:val="single" w:color="000000" w:sz="6" w:space="0"/>
            </w:tcBorders>
            <w:tcMar>
              <w:top w:w="75" w:type="dxa"/>
              <w:left w:w="108" w:type="dxa"/>
              <w:bottom w:w="75" w:type="dxa"/>
              <w:right w:w="108" w:type="dxa"/>
            </w:tcMar>
            <w:vAlign w:val="center"/>
          </w:tcPr>
          <w:p>
            <w:pPr>
              <w:spacing w:line="360" w:lineRule="auto"/>
            </w:pPr>
            <w:r>
              <w:t>美国玉米带</w:t>
            </w:r>
          </w:p>
        </w:tc>
        <w:tc>
          <w:tcPr>
            <w:tcW w:w="1860" w:type="dxa"/>
            <w:tcBorders>
              <w:top w:val="single" w:color="000000" w:sz="6" w:space="0"/>
              <w:left w:val="nil"/>
              <w:bottom w:val="single" w:color="000000" w:sz="6" w:space="0"/>
              <w:right w:val="single" w:color="000000" w:sz="6" w:space="0"/>
            </w:tcBorders>
            <w:tcMar>
              <w:top w:w="75" w:type="dxa"/>
              <w:left w:w="108" w:type="dxa"/>
              <w:bottom w:w="75" w:type="dxa"/>
              <w:right w:w="108" w:type="dxa"/>
            </w:tcMar>
            <w:vAlign w:val="center"/>
          </w:tcPr>
          <w:p>
            <w:pPr>
              <w:spacing w:line="360" w:lineRule="auto"/>
            </w:pPr>
            <w:r>
              <w:t>中国玉米带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87" w:type="dxa"/>
            <w:tcBorders>
              <w:top w:val="single" w:color="000000" w:sz="6" w:space="0"/>
              <w:left w:val="single" w:color="000000" w:sz="6" w:space="0"/>
              <w:bottom w:val="single" w:color="000000" w:sz="6" w:space="0"/>
              <w:right w:val="single" w:color="000000" w:sz="6" w:space="0"/>
            </w:tcBorders>
            <w:tcMar>
              <w:top w:w="75" w:type="dxa"/>
              <w:left w:w="108" w:type="dxa"/>
              <w:bottom w:w="75" w:type="dxa"/>
              <w:right w:w="108" w:type="dxa"/>
            </w:tcMar>
            <w:vAlign w:val="center"/>
          </w:tcPr>
          <w:p>
            <w:pPr>
              <w:spacing w:line="360" w:lineRule="auto"/>
            </w:pPr>
            <w:r>
              <w:t>纬度</w:t>
            </w:r>
          </w:p>
        </w:tc>
        <w:tc>
          <w:tcPr>
            <w:tcW w:w="1842" w:type="dxa"/>
            <w:tcBorders>
              <w:top w:val="single" w:color="000000" w:sz="6" w:space="0"/>
              <w:left w:val="nil"/>
              <w:bottom w:val="single" w:color="000000" w:sz="6" w:space="0"/>
              <w:right w:val="single" w:color="000000" w:sz="6" w:space="0"/>
            </w:tcBorders>
            <w:tcMar>
              <w:top w:w="75" w:type="dxa"/>
              <w:left w:w="108" w:type="dxa"/>
              <w:bottom w:w="75" w:type="dxa"/>
              <w:right w:w="108" w:type="dxa"/>
            </w:tcMar>
            <w:vAlign w:val="center"/>
          </w:tcPr>
          <w:p>
            <w:pPr>
              <w:spacing w:line="360" w:lineRule="auto"/>
            </w:pPr>
            <w:r>
              <w:t>37°N～45°N</w:t>
            </w:r>
          </w:p>
        </w:tc>
        <w:tc>
          <w:tcPr>
            <w:tcW w:w="1860" w:type="dxa"/>
            <w:tcBorders>
              <w:top w:val="single" w:color="000000" w:sz="6" w:space="0"/>
              <w:left w:val="nil"/>
              <w:bottom w:val="single" w:color="000000" w:sz="6" w:space="0"/>
              <w:right w:val="single" w:color="000000" w:sz="6" w:space="0"/>
            </w:tcBorders>
            <w:tcMar>
              <w:top w:w="75" w:type="dxa"/>
              <w:left w:w="108" w:type="dxa"/>
              <w:bottom w:w="75" w:type="dxa"/>
              <w:right w:w="108" w:type="dxa"/>
            </w:tcMar>
            <w:vAlign w:val="center"/>
          </w:tcPr>
          <w:p>
            <w:pPr>
              <w:spacing w:line="360" w:lineRule="auto"/>
            </w:pPr>
            <w:r>
              <w:t>42°N～46°N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87" w:type="dxa"/>
            <w:tcBorders>
              <w:top w:val="single" w:color="000000" w:sz="6" w:space="0"/>
              <w:left w:val="single" w:color="000000" w:sz="6" w:space="0"/>
              <w:bottom w:val="single" w:color="000000" w:sz="6" w:space="0"/>
              <w:right w:val="single" w:color="000000" w:sz="6" w:space="0"/>
            </w:tcBorders>
            <w:tcMar>
              <w:top w:w="75" w:type="dxa"/>
              <w:left w:w="108" w:type="dxa"/>
              <w:bottom w:w="75" w:type="dxa"/>
              <w:right w:w="108" w:type="dxa"/>
            </w:tcMar>
            <w:vAlign w:val="center"/>
          </w:tcPr>
          <w:p>
            <w:pPr>
              <w:spacing w:line="360" w:lineRule="auto"/>
            </w:pPr>
            <w:r>
              <w:t>地形</w:t>
            </w:r>
          </w:p>
        </w:tc>
        <w:tc>
          <w:tcPr>
            <w:tcW w:w="1842" w:type="dxa"/>
            <w:tcBorders>
              <w:top w:val="single" w:color="000000" w:sz="6" w:space="0"/>
              <w:left w:val="nil"/>
              <w:bottom w:val="single" w:color="000000" w:sz="6" w:space="0"/>
              <w:right w:val="single" w:color="000000" w:sz="6" w:space="0"/>
            </w:tcBorders>
            <w:tcMar>
              <w:top w:w="75" w:type="dxa"/>
              <w:left w:w="108" w:type="dxa"/>
              <w:bottom w:w="75" w:type="dxa"/>
              <w:right w:w="108" w:type="dxa"/>
            </w:tcMar>
            <w:vAlign w:val="center"/>
          </w:tcPr>
          <w:p>
            <w:pPr>
              <w:spacing w:line="360" w:lineRule="auto"/>
            </w:pPr>
            <w:r>
              <w:t>平原</w:t>
            </w:r>
          </w:p>
        </w:tc>
        <w:tc>
          <w:tcPr>
            <w:tcW w:w="1860" w:type="dxa"/>
            <w:tcBorders>
              <w:top w:val="single" w:color="000000" w:sz="6" w:space="0"/>
              <w:left w:val="nil"/>
              <w:bottom w:val="single" w:color="000000" w:sz="6" w:space="0"/>
              <w:right w:val="single" w:color="000000" w:sz="6" w:space="0"/>
            </w:tcBorders>
            <w:tcMar>
              <w:top w:w="75" w:type="dxa"/>
              <w:left w:w="108" w:type="dxa"/>
              <w:bottom w:w="75" w:type="dxa"/>
              <w:right w:w="108" w:type="dxa"/>
            </w:tcMar>
            <w:vAlign w:val="center"/>
          </w:tcPr>
          <w:p>
            <w:pPr>
              <w:spacing w:line="360" w:lineRule="auto"/>
            </w:pPr>
            <w:r>
              <w:t>平原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87" w:type="dxa"/>
            <w:tcBorders>
              <w:top w:val="single" w:color="000000" w:sz="6" w:space="0"/>
              <w:left w:val="single" w:color="000000" w:sz="6" w:space="0"/>
              <w:bottom w:val="single" w:color="000000" w:sz="6" w:space="0"/>
              <w:right w:val="single" w:color="000000" w:sz="6" w:space="0"/>
            </w:tcBorders>
            <w:tcMar>
              <w:top w:w="75" w:type="dxa"/>
              <w:left w:w="108" w:type="dxa"/>
              <w:bottom w:w="75" w:type="dxa"/>
              <w:right w:w="108" w:type="dxa"/>
            </w:tcMar>
            <w:vAlign w:val="center"/>
          </w:tcPr>
          <w:p>
            <w:pPr>
              <w:spacing w:line="360" w:lineRule="auto"/>
            </w:pPr>
            <w:r>
              <w:t>土壤有机质</w:t>
            </w:r>
          </w:p>
        </w:tc>
        <w:tc>
          <w:tcPr>
            <w:tcW w:w="1842" w:type="dxa"/>
            <w:tcBorders>
              <w:top w:val="single" w:color="000000" w:sz="6" w:space="0"/>
              <w:left w:val="nil"/>
              <w:bottom w:val="single" w:color="000000" w:sz="6" w:space="0"/>
              <w:right w:val="single" w:color="000000" w:sz="6" w:space="0"/>
            </w:tcBorders>
            <w:tcMar>
              <w:top w:w="75" w:type="dxa"/>
              <w:left w:w="108" w:type="dxa"/>
              <w:bottom w:w="75" w:type="dxa"/>
              <w:right w:w="108" w:type="dxa"/>
            </w:tcMar>
            <w:vAlign w:val="center"/>
          </w:tcPr>
          <w:p>
            <w:pPr>
              <w:spacing w:line="360" w:lineRule="auto"/>
            </w:pPr>
            <w:r>
              <w:t>3%～6%</w:t>
            </w:r>
          </w:p>
        </w:tc>
        <w:tc>
          <w:tcPr>
            <w:tcW w:w="1860" w:type="dxa"/>
            <w:tcBorders>
              <w:top w:val="single" w:color="000000" w:sz="6" w:space="0"/>
              <w:left w:val="nil"/>
              <w:bottom w:val="single" w:color="000000" w:sz="6" w:space="0"/>
              <w:right w:val="single" w:color="000000" w:sz="6" w:space="0"/>
            </w:tcBorders>
            <w:tcMar>
              <w:top w:w="75" w:type="dxa"/>
              <w:left w:w="108" w:type="dxa"/>
              <w:bottom w:w="75" w:type="dxa"/>
              <w:right w:w="108" w:type="dxa"/>
            </w:tcMar>
            <w:vAlign w:val="center"/>
          </w:tcPr>
          <w:p>
            <w:pPr>
              <w:spacing w:line="360" w:lineRule="auto"/>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87" w:type="dxa"/>
            <w:tcBorders>
              <w:top w:val="single" w:color="000000" w:sz="6" w:space="0"/>
              <w:left w:val="single" w:color="000000" w:sz="6" w:space="0"/>
              <w:bottom w:val="single" w:color="000000" w:sz="6" w:space="0"/>
              <w:right w:val="single" w:color="000000" w:sz="6" w:space="0"/>
            </w:tcBorders>
            <w:tcMar>
              <w:top w:w="75" w:type="dxa"/>
              <w:left w:w="108" w:type="dxa"/>
              <w:bottom w:w="75" w:type="dxa"/>
              <w:right w:w="108" w:type="dxa"/>
            </w:tcMar>
            <w:vAlign w:val="center"/>
          </w:tcPr>
          <w:p>
            <w:pPr>
              <w:spacing w:line="360" w:lineRule="auto"/>
            </w:pPr>
            <w:r>
              <w:t>降水量（mm）</w:t>
            </w:r>
          </w:p>
        </w:tc>
        <w:tc>
          <w:tcPr>
            <w:tcW w:w="1842" w:type="dxa"/>
            <w:tcBorders>
              <w:top w:val="single" w:color="000000" w:sz="6" w:space="0"/>
              <w:left w:val="nil"/>
              <w:bottom w:val="single" w:color="000000" w:sz="6" w:space="0"/>
              <w:right w:val="single" w:color="000000" w:sz="6" w:space="0"/>
            </w:tcBorders>
            <w:tcMar>
              <w:top w:w="75" w:type="dxa"/>
              <w:left w:w="108" w:type="dxa"/>
              <w:bottom w:w="75" w:type="dxa"/>
              <w:right w:w="108" w:type="dxa"/>
            </w:tcMar>
            <w:vAlign w:val="center"/>
          </w:tcPr>
          <w:p>
            <w:pPr>
              <w:spacing w:line="360" w:lineRule="auto"/>
            </w:pPr>
            <w:r>
              <w:t>500～700</w:t>
            </w:r>
          </w:p>
        </w:tc>
        <w:tc>
          <w:tcPr>
            <w:tcW w:w="1860" w:type="dxa"/>
            <w:tcBorders>
              <w:top w:val="single" w:color="000000" w:sz="6" w:space="0"/>
              <w:left w:val="nil"/>
              <w:bottom w:val="single" w:color="000000" w:sz="6" w:space="0"/>
              <w:right w:val="single" w:color="000000" w:sz="6" w:space="0"/>
            </w:tcBorders>
            <w:tcMar>
              <w:top w:w="75" w:type="dxa"/>
              <w:left w:w="108" w:type="dxa"/>
              <w:bottom w:w="75" w:type="dxa"/>
              <w:right w:w="108" w:type="dxa"/>
            </w:tcMar>
            <w:vAlign w:val="center"/>
          </w:tcPr>
          <w:p>
            <w:pPr>
              <w:spacing w:line="360" w:lineRule="auto"/>
            </w:pPr>
            <w:r>
              <w:t>450～650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87" w:type="dxa"/>
            <w:tcBorders>
              <w:top w:val="single" w:color="000000" w:sz="6" w:space="0"/>
              <w:left w:val="single" w:color="000000" w:sz="6" w:space="0"/>
              <w:bottom w:val="single" w:color="000000" w:sz="6" w:space="0"/>
              <w:right w:val="single" w:color="000000" w:sz="6" w:space="0"/>
            </w:tcBorders>
            <w:tcMar>
              <w:top w:w="75" w:type="dxa"/>
              <w:left w:w="108" w:type="dxa"/>
              <w:bottom w:w="75" w:type="dxa"/>
              <w:right w:w="108" w:type="dxa"/>
            </w:tcMar>
            <w:vAlign w:val="center"/>
          </w:tcPr>
          <w:p>
            <w:pPr>
              <w:spacing w:line="360" w:lineRule="auto"/>
            </w:pPr>
            <w:r>
              <w:t>无霜期（天）</w:t>
            </w:r>
          </w:p>
        </w:tc>
        <w:tc>
          <w:tcPr>
            <w:tcW w:w="1842" w:type="dxa"/>
            <w:tcBorders>
              <w:top w:val="single" w:color="000000" w:sz="6" w:space="0"/>
              <w:left w:val="nil"/>
              <w:bottom w:val="single" w:color="000000" w:sz="6" w:space="0"/>
              <w:right w:val="single" w:color="000000" w:sz="6" w:space="0"/>
            </w:tcBorders>
            <w:tcMar>
              <w:top w:w="75" w:type="dxa"/>
              <w:left w:w="108" w:type="dxa"/>
              <w:bottom w:w="75" w:type="dxa"/>
              <w:right w:w="108" w:type="dxa"/>
            </w:tcMar>
            <w:vAlign w:val="center"/>
          </w:tcPr>
          <w:p>
            <w:pPr>
              <w:spacing w:line="360" w:lineRule="auto"/>
            </w:pPr>
            <w:r>
              <w:t>160～200</w:t>
            </w:r>
          </w:p>
        </w:tc>
        <w:tc>
          <w:tcPr>
            <w:tcW w:w="1860" w:type="dxa"/>
            <w:tcBorders>
              <w:top w:val="single" w:color="000000" w:sz="6" w:space="0"/>
              <w:left w:val="nil"/>
              <w:bottom w:val="single" w:color="000000" w:sz="6" w:space="0"/>
              <w:right w:val="single" w:color="000000" w:sz="6" w:space="0"/>
            </w:tcBorders>
            <w:tcMar>
              <w:top w:w="75" w:type="dxa"/>
              <w:left w:w="108" w:type="dxa"/>
              <w:bottom w:w="75" w:type="dxa"/>
              <w:right w:w="108" w:type="dxa"/>
            </w:tcMar>
            <w:vAlign w:val="center"/>
          </w:tcPr>
          <w:p>
            <w:pPr>
              <w:spacing w:line="360" w:lineRule="auto"/>
            </w:pPr>
            <w:r>
              <w:t>130～145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87" w:type="dxa"/>
            <w:tcBorders>
              <w:top w:val="single" w:color="000000" w:sz="6" w:space="0"/>
              <w:left w:val="single" w:color="000000" w:sz="6" w:space="0"/>
              <w:bottom w:val="single" w:color="000000" w:sz="6" w:space="0"/>
              <w:right w:val="single" w:color="000000" w:sz="6" w:space="0"/>
            </w:tcBorders>
            <w:tcMar>
              <w:top w:w="75" w:type="dxa"/>
              <w:left w:w="108" w:type="dxa"/>
              <w:bottom w:w="75" w:type="dxa"/>
              <w:right w:w="108" w:type="dxa"/>
            </w:tcMar>
            <w:vAlign w:val="center"/>
          </w:tcPr>
          <w:p>
            <w:pPr>
              <w:spacing w:line="360" w:lineRule="auto"/>
            </w:pPr>
            <w:r>
              <w:t>玉米面积比重</w:t>
            </w:r>
          </w:p>
        </w:tc>
        <w:tc>
          <w:tcPr>
            <w:tcW w:w="1842" w:type="dxa"/>
            <w:tcBorders>
              <w:top w:val="single" w:color="000000" w:sz="6" w:space="0"/>
              <w:left w:val="nil"/>
              <w:bottom w:val="single" w:color="000000" w:sz="6" w:space="0"/>
              <w:right w:val="single" w:color="000000" w:sz="6" w:space="0"/>
            </w:tcBorders>
            <w:tcMar>
              <w:top w:w="75" w:type="dxa"/>
              <w:left w:w="108" w:type="dxa"/>
              <w:bottom w:w="75" w:type="dxa"/>
              <w:right w:w="108" w:type="dxa"/>
            </w:tcMar>
            <w:vAlign w:val="center"/>
          </w:tcPr>
          <w:p>
            <w:pPr>
              <w:spacing w:line="360" w:lineRule="auto"/>
            </w:pPr>
            <w:r>
              <w:t>50%</w:t>
            </w:r>
          </w:p>
        </w:tc>
        <w:tc>
          <w:tcPr>
            <w:tcW w:w="1860" w:type="dxa"/>
            <w:tcBorders>
              <w:top w:val="single" w:color="000000" w:sz="6" w:space="0"/>
              <w:left w:val="nil"/>
              <w:bottom w:val="single" w:color="000000" w:sz="6" w:space="0"/>
              <w:right w:val="single" w:color="000000" w:sz="6" w:space="0"/>
            </w:tcBorders>
            <w:tcMar>
              <w:top w:w="75" w:type="dxa"/>
              <w:left w:w="108" w:type="dxa"/>
              <w:bottom w:w="75" w:type="dxa"/>
              <w:right w:w="108" w:type="dxa"/>
            </w:tcMar>
            <w:vAlign w:val="center"/>
          </w:tcPr>
          <w:p>
            <w:pPr>
              <w:spacing w:line="360" w:lineRule="auto"/>
            </w:pPr>
            <w:r>
              <w:t>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87" w:type="dxa"/>
            <w:tcBorders>
              <w:top w:val="single" w:color="000000" w:sz="6" w:space="0"/>
              <w:left w:val="single" w:color="000000" w:sz="6" w:space="0"/>
              <w:bottom w:val="single" w:color="000000" w:sz="6" w:space="0"/>
              <w:right w:val="single" w:color="000000" w:sz="6" w:space="0"/>
            </w:tcBorders>
            <w:tcMar>
              <w:top w:w="75" w:type="dxa"/>
              <w:left w:w="108" w:type="dxa"/>
              <w:bottom w:w="75" w:type="dxa"/>
              <w:right w:w="108" w:type="dxa"/>
            </w:tcMar>
            <w:vAlign w:val="center"/>
          </w:tcPr>
          <w:p>
            <w:pPr>
              <w:spacing w:line="360" w:lineRule="auto"/>
            </w:pPr>
            <w:r>
              <w:t>玉米单产</w:t>
            </w:r>
          </w:p>
        </w:tc>
        <w:tc>
          <w:tcPr>
            <w:tcW w:w="1842" w:type="dxa"/>
            <w:tcBorders>
              <w:top w:val="single" w:color="000000" w:sz="6" w:space="0"/>
              <w:left w:val="nil"/>
              <w:bottom w:val="single" w:color="000000" w:sz="6" w:space="0"/>
              <w:right w:val="single" w:color="000000" w:sz="6" w:space="0"/>
            </w:tcBorders>
            <w:tcMar>
              <w:top w:w="75" w:type="dxa"/>
              <w:left w:w="108" w:type="dxa"/>
              <w:bottom w:w="75" w:type="dxa"/>
              <w:right w:w="108" w:type="dxa"/>
            </w:tcMar>
            <w:vAlign w:val="center"/>
          </w:tcPr>
          <w:p>
            <w:pPr>
              <w:spacing w:line="360" w:lineRule="auto"/>
            </w:pPr>
            <w:r>
              <w:t>7 500千克/公顷</w:t>
            </w:r>
          </w:p>
        </w:tc>
        <w:tc>
          <w:tcPr>
            <w:tcW w:w="1860" w:type="dxa"/>
            <w:tcBorders>
              <w:top w:val="single" w:color="000000" w:sz="6" w:space="0"/>
              <w:left w:val="nil"/>
              <w:bottom w:val="single" w:color="000000" w:sz="6" w:space="0"/>
              <w:right w:val="single" w:color="000000" w:sz="6" w:space="0"/>
            </w:tcBorders>
            <w:tcMar>
              <w:top w:w="75" w:type="dxa"/>
              <w:left w:w="108" w:type="dxa"/>
              <w:bottom w:w="75" w:type="dxa"/>
              <w:right w:w="108" w:type="dxa"/>
            </w:tcMar>
            <w:vAlign w:val="center"/>
          </w:tcPr>
          <w:p>
            <w:pPr>
              <w:spacing w:line="360" w:lineRule="auto"/>
            </w:pPr>
            <w:r>
              <w:t>6 750千克/公顷</w:t>
            </w:r>
          </w:p>
        </w:tc>
      </w:tr>
    </w:tbl>
    <w:p>
      <w:pPr>
        <w:spacing w:line="360" w:lineRule="auto"/>
      </w:pPr>
      <w:r>
        <w:tab/>
      </w:r>
      <w:r>
        <w:t>（1）比较中国东北部和美国东北部地区农业结构。两个地区从农业地域类型看，都属于</w:t>
      </w:r>
      <w:r>
        <w:rPr>
          <w:rFonts w:hint="eastAsia"/>
          <w:u w:val="single"/>
        </w:rPr>
        <w:t xml:space="preserve">                    </w:t>
      </w:r>
      <w:r>
        <w:t>。都有大面积的</w:t>
      </w:r>
      <w:r>
        <w:rPr>
          <w:rFonts w:hint="eastAsia"/>
          <w:u w:val="single"/>
        </w:rPr>
        <w:t xml:space="preserve">                  </w:t>
      </w:r>
      <w:r>
        <w:t>种植；不同之处是</w:t>
      </w:r>
      <w:r>
        <w:rPr>
          <w:rFonts w:hint="eastAsia"/>
          <w:u w:val="single"/>
        </w:rPr>
        <w:t xml:space="preserve">                                                            </w:t>
      </w:r>
      <w:r>
        <w:t>。（</w:t>
      </w:r>
      <w:r>
        <w:rPr>
          <w:rFonts w:hint="eastAsia"/>
        </w:rPr>
        <w:t>4</w:t>
      </w:r>
      <w:r>
        <w:t>分）</w:t>
      </w:r>
    </w:p>
    <w:p>
      <w:pPr>
        <w:spacing w:line="360" w:lineRule="auto"/>
      </w:pPr>
      <w:r>
        <w:tab/>
      </w:r>
      <w:r>
        <w:t xml:space="preserve">（2）分析影响两个地区小麦种植的有利自然条件。（4分）    </w:t>
      </w:r>
    </w:p>
    <w:p>
      <w:pPr>
        <w:spacing w:line="360" w:lineRule="auto"/>
      </w:pPr>
    </w:p>
    <w:p>
      <w:pPr>
        <w:spacing w:line="360" w:lineRule="auto"/>
      </w:pPr>
    </w:p>
    <w:p>
      <w:pPr>
        <w:spacing w:line="360" w:lineRule="auto"/>
      </w:pPr>
    </w:p>
    <w:p>
      <w:pPr>
        <w:spacing w:line="360" w:lineRule="auto"/>
      </w:pPr>
      <w:r>
        <w:t xml:space="preserve">                                </w:t>
      </w:r>
    </w:p>
    <w:p>
      <w:pPr>
        <w:spacing w:line="360" w:lineRule="auto"/>
      </w:pPr>
      <w:r>
        <w:tab/>
      </w:r>
      <w:r>
        <w:t>（3）分析我国东北地区种植水稻主要的不利因素</w:t>
      </w:r>
      <w:r>
        <w:rPr>
          <w:rFonts w:hint="eastAsia"/>
          <w:u w:val="single"/>
        </w:rPr>
        <w:t xml:space="preserve">                  </w:t>
      </w:r>
      <w:r>
        <w:t>。（</w:t>
      </w:r>
      <w:r>
        <w:rPr>
          <w:rFonts w:hint="eastAsia"/>
        </w:rPr>
        <w:t>1</w:t>
      </w:r>
      <w:r>
        <w:t>分）</w:t>
      </w:r>
    </w:p>
    <w:p>
      <w:pPr>
        <w:spacing w:line="360" w:lineRule="auto"/>
      </w:pPr>
    </w:p>
    <w:p>
      <w:pPr>
        <w:spacing w:line="360" w:lineRule="auto"/>
      </w:pPr>
      <w:r>
        <w:tab/>
      </w:r>
      <w:r>
        <w:t>（4）由材料二表中可以看出，两地玉米单产美国玉米带高于我国玉米带，试从自然和社会经济条件分析产生差异的原因。（</w:t>
      </w:r>
      <w:r>
        <w:rPr>
          <w:rFonts w:hint="eastAsia"/>
        </w:rPr>
        <w:t>4</w:t>
      </w:r>
      <w:r>
        <w:t>分）</w:t>
      </w:r>
    </w:p>
    <w:p>
      <w:pPr>
        <w:spacing w:line="360" w:lineRule="auto"/>
      </w:pPr>
    </w:p>
    <w:p>
      <w:pPr>
        <w:adjustRightInd w:val="0"/>
        <w:snapToGrid w:val="0"/>
        <w:spacing w:line="360" w:lineRule="auto"/>
        <w:rPr>
          <w:rFonts w:asciiTheme="majorEastAsia" w:hAnsiTheme="majorEastAsia" w:eastAsiaTheme="majorEastAsia" w:cstheme="majorEastAsia"/>
          <w:b/>
          <w:szCs w:val="21"/>
        </w:rPr>
      </w:pPr>
    </w:p>
    <w:p>
      <w:pPr>
        <w:widowControl/>
        <w:spacing w:line="360" w:lineRule="auto"/>
        <w:jc w:val="left"/>
        <w:rPr>
          <w:rFonts w:ascii="宋体" w:hAnsi="宋体" w:eastAsia="宋体" w:cs="宋体"/>
          <w:color w:val="000000" w:themeColor="text1"/>
          <w:kern w:val="0"/>
          <w:szCs w:val="21"/>
          <w14:textFill>
            <w14:solidFill>
              <w14:schemeClr w14:val="tx1"/>
            </w14:solidFill>
          </w14:textFill>
        </w:rPr>
      </w:pPr>
      <w:r>
        <w:rPr>
          <w:rFonts w:hint="eastAsia"/>
        </w:rPr>
        <w:t>29</w:t>
      </w:r>
      <w:r>
        <w:rPr>
          <w:rFonts w:hint="eastAsia" w:ascii="宋体" w:hAnsi="宋体" w:eastAsia="宋体" w:cs="宋体"/>
          <w:color w:val="000000" w:themeColor="text1"/>
          <w:kern w:val="0"/>
          <w:szCs w:val="21"/>
          <w14:textFill>
            <w14:solidFill>
              <w14:schemeClr w14:val="tx1"/>
            </w14:solidFill>
          </w14:textFill>
        </w:rPr>
        <w:t>.</w:t>
      </w:r>
      <w:r>
        <w:rPr>
          <w:rFonts w:ascii="宋体" w:hAnsi="宋体" w:eastAsia="宋体" w:cs="宋体"/>
          <w:color w:val="000000" w:themeColor="text1"/>
          <w:kern w:val="0"/>
          <w:szCs w:val="21"/>
          <w14:textFill>
            <w14:solidFill>
              <w14:schemeClr w14:val="tx1"/>
            </w14:solidFill>
          </w14:textFill>
        </w:rPr>
        <w:t>阅读材料，回答下列问题。</w:t>
      </w:r>
      <w:r>
        <w:rPr>
          <w:rFonts w:hint="eastAsia" w:ascii="宋体" w:hAnsi="宋体" w:eastAsia="宋体" w:cs="宋体"/>
          <w:color w:val="000000" w:themeColor="text1"/>
          <w:kern w:val="0"/>
          <w:szCs w:val="21"/>
          <w14:textFill>
            <w14:solidFill>
              <w14:schemeClr w14:val="tx1"/>
            </w14:solidFill>
          </w14:textFill>
        </w:rPr>
        <w:t>（13分）</w:t>
      </w:r>
    </w:p>
    <w:p>
      <w:pPr>
        <w:widowControl/>
        <w:spacing w:line="360" w:lineRule="auto"/>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drawing>
          <wp:anchor distT="0" distB="0" distL="114300" distR="114300" simplePos="0" relativeHeight="251662336" behindDoc="0" locked="0" layoutInCell="1" allowOverlap="1">
            <wp:simplePos x="0" y="0"/>
            <wp:positionH relativeFrom="column">
              <wp:posOffset>3243580</wp:posOffset>
            </wp:positionH>
            <wp:positionV relativeFrom="paragraph">
              <wp:posOffset>426085</wp:posOffset>
            </wp:positionV>
            <wp:extent cx="2240280" cy="3295650"/>
            <wp:effectExtent l="0" t="0" r="7620" b="0"/>
            <wp:wrapSquare wrapText="bothSides"/>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0280" cy="3295650"/>
                    </a:xfrm>
                    <a:prstGeom prst="rect">
                      <a:avLst/>
                    </a:prstGeom>
                    <a:noFill/>
                    <a:ln>
                      <a:noFill/>
                    </a:ln>
                  </pic:spPr>
                </pic:pic>
              </a:graphicData>
            </a:graphic>
          </wp:anchor>
        </w:drawing>
      </w:r>
      <w:r>
        <w:rPr>
          <w:rFonts w:ascii="宋体" w:hAnsi="宋体" w:eastAsia="宋体" w:cs="宋体"/>
          <w:color w:val="000000" w:themeColor="text1"/>
          <w:kern w:val="0"/>
          <w:szCs w:val="21"/>
          <w14:textFill>
            <w14:solidFill>
              <w14:schemeClr w14:val="tx1"/>
            </w14:solidFill>
          </w14:textFill>
        </w:rPr>
        <w:t>拥有7 000多年稻米栽培历史的中国，绝对是当之无愧的大米故乡，日本稻种即引自中国。但目前日本大米却成为中国游客的一个抢购目标，有人甚至不惜花近1 500元人民币买5千克的日本大米；有消息称东北盘锦地区引种日本大米品种“一目惚”，并以订单方式销往日本。图甲中阴影部分为世界水稻主产区，图乙为日本农场工人利用遥控直升机为农田喷洒农药。</w:t>
      </w:r>
    </w:p>
    <w:p>
      <w:pPr>
        <w:pStyle w:val="5"/>
        <w:widowControl/>
        <w:numPr>
          <w:ilvl w:val="0"/>
          <w:numId w:val="1"/>
        </w:numPr>
        <w:spacing w:line="360" w:lineRule="auto"/>
        <w:ind w:firstLineChars="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概括甲图中主产区</w:t>
      </w:r>
      <w:r>
        <w:rPr>
          <w:rFonts w:ascii="宋体" w:hAnsi="宋体" w:eastAsia="宋体" w:cs="宋体"/>
          <w:color w:val="000000" w:themeColor="text1"/>
          <w:kern w:val="0"/>
          <w:szCs w:val="21"/>
          <w14:textFill>
            <w14:solidFill>
              <w14:schemeClr w14:val="tx1"/>
            </w14:solidFill>
          </w14:textFill>
        </w:rPr>
        <w:t>水稻</w:t>
      </w:r>
      <w:r>
        <w:rPr>
          <w:rFonts w:hint="eastAsia" w:ascii="宋体" w:hAnsi="宋体" w:eastAsia="宋体" w:cs="宋体"/>
          <w:color w:val="000000" w:themeColor="text1"/>
          <w:kern w:val="0"/>
          <w:szCs w:val="21"/>
          <w14:textFill>
            <w14:solidFill>
              <w14:schemeClr w14:val="tx1"/>
            </w14:solidFill>
          </w14:textFill>
        </w:rPr>
        <w:t>发展的不利因素</w:t>
      </w:r>
      <w:r>
        <w:rPr>
          <w:rFonts w:ascii="宋体" w:hAnsi="宋体" w:eastAsia="宋体" w:cs="宋体"/>
          <w:color w:val="000000" w:themeColor="text1"/>
          <w:kern w:val="0"/>
          <w:szCs w:val="21"/>
          <w14:textFill>
            <w14:solidFill>
              <w14:schemeClr w14:val="tx1"/>
            </w14:solidFill>
          </w14:textFill>
        </w:rPr>
        <w:t>。</w:t>
      </w:r>
    </w:p>
    <w:p>
      <w:pPr>
        <w:pStyle w:val="5"/>
        <w:widowControl/>
        <w:spacing w:line="360" w:lineRule="auto"/>
        <w:ind w:left="360" w:firstLine="0" w:firstLineChars="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（2分）</w:t>
      </w:r>
    </w:p>
    <w:p>
      <w:pPr>
        <w:pStyle w:val="5"/>
        <w:widowControl/>
        <w:spacing w:line="360" w:lineRule="auto"/>
        <w:ind w:left="360" w:firstLine="0" w:firstLineChars="0"/>
        <w:jc w:val="left"/>
        <w:rPr>
          <w:rFonts w:ascii="宋体" w:hAnsi="宋体" w:eastAsia="宋体" w:cs="宋体"/>
          <w:color w:val="000000" w:themeColor="text1"/>
          <w:kern w:val="0"/>
          <w:szCs w:val="21"/>
          <w14:textFill>
            <w14:solidFill>
              <w14:schemeClr w14:val="tx1"/>
            </w14:solidFill>
          </w14:textFill>
        </w:rPr>
      </w:pPr>
    </w:p>
    <w:p>
      <w:pPr>
        <w:pStyle w:val="5"/>
        <w:widowControl/>
        <w:spacing w:line="360" w:lineRule="auto"/>
        <w:ind w:left="360" w:firstLine="0" w:firstLineChars="0"/>
        <w:jc w:val="left"/>
        <w:rPr>
          <w:rFonts w:ascii="宋体" w:hAnsi="宋体" w:eastAsia="宋体" w:cs="宋体"/>
          <w:color w:val="000000" w:themeColor="text1"/>
          <w:kern w:val="0"/>
          <w:szCs w:val="21"/>
          <w14:textFill>
            <w14:solidFill>
              <w14:schemeClr w14:val="tx1"/>
            </w14:solidFill>
          </w14:textFill>
        </w:rPr>
      </w:pPr>
    </w:p>
    <w:p>
      <w:pPr>
        <w:pStyle w:val="5"/>
        <w:widowControl/>
        <w:numPr>
          <w:ilvl w:val="0"/>
          <w:numId w:val="1"/>
        </w:numPr>
        <w:spacing w:line="360" w:lineRule="auto"/>
        <w:ind w:firstLineChars="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分析日本水稻产区比其他水稻主产区具有的优势。</w:t>
      </w:r>
      <w:r>
        <w:rPr>
          <w:rFonts w:hint="eastAsia" w:ascii="宋体" w:hAnsi="宋体" w:eastAsia="宋体" w:cs="宋体"/>
          <w:color w:val="000000" w:themeColor="text1"/>
          <w:kern w:val="0"/>
          <w:szCs w:val="21"/>
          <w14:textFill>
            <w14:solidFill>
              <w14:schemeClr w14:val="tx1"/>
            </w14:solidFill>
          </w14:textFill>
        </w:rPr>
        <w:t>（3分）</w:t>
      </w:r>
    </w:p>
    <w:p>
      <w:pPr>
        <w:pStyle w:val="5"/>
        <w:widowControl/>
        <w:spacing w:line="360" w:lineRule="auto"/>
        <w:ind w:left="360" w:firstLine="0" w:firstLineChars="0"/>
        <w:jc w:val="left"/>
        <w:rPr>
          <w:rFonts w:ascii="宋体" w:hAnsi="宋体" w:eastAsia="宋体" w:cs="宋体"/>
          <w:color w:val="000000" w:themeColor="text1"/>
          <w:kern w:val="0"/>
          <w:szCs w:val="21"/>
          <w14:textFill>
            <w14:solidFill>
              <w14:schemeClr w14:val="tx1"/>
            </w14:solidFill>
          </w14:textFill>
        </w:rPr>
      </w:pPr>
    </w:p>
    <w:p>
      <w:pPr>
        <w:pStyle w:val="5"/>
        <w:widowControl/>
        <w:spacing w:line="360" w:lineRule="auto"/>
        <w:ind w:left="360" w:firstLine="0" w:firstLineChars="0"/>
        <w:jc w:val="left"/>
        <w:rPr>
          <w:rFonts w:ascii="宋体" w:hAnsi="宋体" w:eastAsia="宋体" w:cs="宋体"/>
          <w:color w:val="000000" w:themeColor="text1"/>
          <w:kern w:val="0"/>
          <w:szCs w:val="21"/>
          <w14:textFill>
            <w14:solidFill>
              <w14:schemeClr w14:val="tx1"/>
            </w14:solidFill>
          </w14:textFill>
        </w:rPr>
      </w:pPr>
    </w:p>
    <w:p>
      <w:pPr>
        <w:pStyle w:val="5"/>
        <w:widowControl/>
        <w:spacing w:line="360" w:lineRule="auto"/>
        <w:ind w:left="360" w:firstLine="0" w:firstLineChars="0"/>
        <w:jc w:val="left"/>
        <w:rPr>
          <w:rFonts w:ascii="宋体" w:hAnsi="宋体" w:eastAsia="宋体" w:cs="宋体"/>
          <w:color w:val="000000" w:themeColor="text1"/>
          <w:kern w:val="0"/>
          <w:szCs w:val="21"/>
          <w14:textFill>
            <w14:solidFill>
              <w14:schemeClr w14:val="tx1"/>
            </w14:solidFill>
          </w14:textFill>
        </w:rPr>
      </w:pPr>
    </w:p>
    <w:p>
      <w:pPr>
        <w:pStyle w:val="5"/>
        <w:widowControl/>
        <w:numPr>
          <w:ilvl w:val="0"/>
          <w:numId w:val="1"/>
        </w:numPr>
        <w:spacing w:line="360" w:lineRule="auto"/>
        <w:ind w:left="357" w:hanging="357" w:firstLineChars="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对比东北与日本</w:t>
      </w:r>
      <w:r>
        <w:rPr>
          <w:rFonts w:hint="eastAsia" w:ascii="宋体" w:hAnsi="宋体" w:eastAsia="宋体" w:cs="宋体"/>
          <w:color w:val="000000" w:themeColor="text1"/>
          <w:kern w:val="0"/>
          <w:szCs w:val="21"/>
          <w14:textFill>
            <w14:solidFill>
              <w14:schemeClr w14:val="tx1"/>
            </w14:solidFill>
          </w14:textFill>
        </w:rPr>
        <w:t>的气候、地形、土壤、人口等地理知识，分析盘锦地区引种日本大米信息的可信度。（4分）</w:t>
      </w:r>
    </w:p>
    <w:p>
      <w:pPr>
        <w:pStyle w:val="5"/>
        <w:widowControl/>
        <w:spacing w:line="360" w:lineRule="auto"/>
        <w:ind w:left="360" w:firstLine="0" w:firstLineChars="0"/>
        <w:jc w:val="left"/>
        <w:rPr>
          <w:rFonts w:ascii="宋体" w:hAnsi="宋体" w:eastAsia="宋体" w:cs="宋体"/>
          <w:color w:val="000000" w:themeColor="text1"/>
          <w:kern w:val="0"/>
          <w:szCs w:val="21"/>
          <w14:textFill>
            <w14:solidFill>
              <w14:schemeClr w14:val="tx1"/>
            </w14:solidFill>
          </w14:textFill>
        </w:rPr>
      </w:pPr>
    </w:p>
    <w:p>
      <w:pPr>
        <w:pStyle w:val="5"/>
        <w:widowControl/>
        <w:spacing w:line="360" w:lineRule="auto"/>
        <w:ind w:left="360" w:firstLine="0" w:firstLineChars="0"/>
        <w:jc w:val="left"/>
        <w:rPr>
          <w:rFonts w:ascii="宋体" w:hAnsi="宋体" w:eastAsia="宋体" w:cs="宋体"/>
          <w:color w:val="000000" w:themeColor="text1"/>
          <w:kern w:val="0"/>
          <w:szCs w:val="21"/>
          <w14:textFill>
            <w14:solidFill>
              <w14:schemeClr w14:val="tx1"/>
            </w14:solidFill>
          </w14:textFill>
        </w:rPr>
      </w:pPr>
    </w:p>
    <w:p>
      <w:pPr>
        <w:widowControl/>
        <w:spacing w:line="360"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w:t>
      </w:r>
      <w:r>
        <w:rPr>
          <w:rFonts w:ascii="宋体" w:hAnsi="宋体" w:eastAsia="宋体" w:cs="宋体"/>
          <w:color w:val="000000" w:themeColor="text1"/>
          <w:kern w:val="0"/>
          <w:szCs w:val="21"/>
          <w14:textFill>
            <w14:solidFill>
              <w14:schemeClr w14:val="tx1"/>
            </w14:solidFill>
          </w14:textFill>
        </w:rPr>
        <w:t>4)中国人抢购日本大米对我国水稻生产有什么启示？</w:t>
      </w:r>
      <w:r>
        <w:rPr>
          <w:rFonts w:hint="eastAsia" w:ascii="宋体" w:hAnsi="宋体" w:eastAsia="宋体" w:cs="宋体"/>
          <w:color w:val="000000" w:themeColor="text1"/>
          <w:kern w:val="0"/>
          <w:szCs w:val="21"/>
          <w14:textFill>
            <w14:solidFill>
              <w14:schemeClr w14:val="tx1"/>
            </w14:solidFill>
          </w14:textFill>
        </w:rPr>
        <w:t>（4分）</w:t>
      </w:r>
    </w:p>
    <w:p>
      <w:pPr>
        <w:spacing w:line="360" w:lineRule="auto"/>
        <w:rPr>
          <w:rFonts w:asciiTheme="majorEastAsia" w:hAnsiTheme="majorEastAsia" w:eastAsiaTheme="majorEastAsia" w:cstheme="majorEastAsia"/>
          <w:szCs w:val="21"/>
        </w:rPr>
      </w:pPr>
    </w:p>
    <w:p>
      <w:pPr>
        <w:spacing w:line="360" w:lineRule="auto"/>
        <w:rPr>
          <w:rFonts w:asciiTheme="majorEastAsia" w:hAnsiTheme="majorEastAsia" w:eastAsiaTheme="majorEastAsia" w:cstheme="majorEastAsia"/>
          <w:szCs w:val="21"/>
        </w:rPr>
      </w:pPr>
    </w:p>
    <w:p>
      <w:pPr>
        <w:spacing w:line="360" w:lineRule="auto"/>
        <w:rPr>
          <w:rFonts w:asciiTheme="majorEastAsia" w:hAnsiTheme="majorEastAsia" w:eastAsiaTheme="majorEastAsia" w:cstheme="majorEastAsia"/>
          <w:b/>
          <w:szCs w:val="21"/>
        </w:rPr>
      </w:pPr>
    </w:p>
    <w:p>
      <w:pPr>
        <w:adjustRightInd w:val="0"/>
        <w:snapToGrid w:val="0"/>
        <w:spacing w:line="360" w:lineRule="auto"/>
        <w:rPr>
          <w:rFonts w:asciiTheme="majorEastAsia" w:hAnsiTheme="majorEastAsia" w:eastAsiaTheme="majorEastAsia" w:cstheme="majorEastAsia"/>
          <w:b/>
          <w:szCs w:val="21"/>
        </w:rPr>
      </w:pPr>
    </w:p>
    <w:p>
      <w:pPr>
        <w:widowControl/>
        <w:spacing w:line="360" w:lineRule="auto"/>
        <w:jc w:val="left"/>
        <w:rPr>
          <w:rFonts w:asciiTheme="majorEastAsia" w:hAnsiTheme="majorEastAsia" w:eastAsiaTheme="majorEastAsia" w:cstheme="majorEastAsia"/>
          <w:b/>
          <w:szCs w:val="21"/>
        </w:rPr>
      </w:pPr>
      <w:r>
        <w:rPr>
          <w:rFonts w:asciiTheme="majorEastAsia" w:hAnsiTheme="majorEastAsia" w:eastAsiaTheme="majorEastAsia" w:cstheme="majorEastAsia"/>
          <w:b/>
          <w:szCs w:val="21"/>
        </w:rPr>
        <w:br w:type="page"/>
      </w:r>
    </w:p>
    <w:p>
      <w:pPr>
        <w:spacing w:line="360" w:lineRule="auto"/>
        <w:jc w:val="center"/>
        <w:rPr>
          <w:b/>
          <w:sz w:val="28"/>
          <w:szCs w:val="28"/>
        </w:rPr>
      </w:pPr>
      <w:bookmarkStart w:id="0" w:name="_GoBack"/>
      <w:bookmarkEnd w:id="0"/>
      <w:r>
        <w:rPr>
          <w:rFonts w:hint="eastAsia"/>
          <w:b/>
          <w:sz w:val="28"/>
          <w:szCs w:val="28"/>
        </w:rPr>
        <w:t>参考答案与评分标准：</w:t>
      </w:r>
    </w:p>
    <w:p>
      <w:pPr>
        <w:pStyle w:val="5"/>
        <w:numPr>
          <w:ilvl w:val="0"/>
          <w:numId w:val="2"/>
        </w:numPr>
        <w:spacing w:line="360" w:lineRule="auto"/>
        <w:ind w:firstLineChars="0"/>
        <w:rPr>
          <w:sz w:val="24"/>
        </w:rPr>
      </w:pPr>
      <w:r>
        <w:rPr>
          <w:rFonts w:hint="eastAsia"/>
          <w:sz w:val="24"/>
        </w:rPr>
        <w:t>选择题</w:t>
      </w:r>
    </w:p>
    <w:p>
      <w:pPr>
        <w:spacing w:line="360" w:lineRule="auto"/>
        <w:rPr>
          <w:sz w:val="24"/>
        </w:rPr>
      </w:pPr>
      <w:r>
        <w:rPr>
          <w:rFonts w:hint="eastAsia"/>
          <w:sz w:val="24"/>
        </w:rPr>
        <w:t>AACDD       ABBCB    ACDBC    CACDD   ACBAD</w:t>
      </w:r>
    </w:p>
    <w:p>
      <w:pPr>
        <w:pStyle w:val="5"/>
        <w:numPr>
          <w:ilvl w:val="0"/>
          <w:numId w:val="2"/>
        </w:numPr>
        <w:spacing w:line="360" w:lineRule="auto"/>
        <w:ind w:firstLineChars="0"/>
        <w:rPr>
          <w:sz w:val="24"/>
        </w:rPr>
      </w:pPr>
      <w:r>
        <w:rPr>
          <w:rFonts w:hint="eastAsia"/>
          <w:sz w:val="24"/>
        </w:rPr>
        <w:t xml:space="preserve">综合题  </w:t>
      </w:r>
    </w:p>
    <w:p>
      <w:pPr>
        <w:spacing w:line="360" w:lineRule="auto"/>
        <w:rPr>
          <w:sz w:val="24"/>
        </w:rPr>
      </w:pPr>
      <w:r>
        <w:rPr>
          <w:rFonts w:hint="eastAsia"/>
          <w:sz w:val="24"/>
        </w:rPr>
        <w:t>26.(1)城市化        城市人口增加、城市人口在总人口中的比重增加、城市用地规模扩大、城市数量增加。(4分)</w:t>
      </w:r>
    </w:p>
    <w:p>
      <w:pPr>
        <w:spacing w:line="360" w:lineRule="auto"/>
        <w:rPr>
          <w:sz w:val="24"/>
        </w:rPr>
      </w:pPr>
      <w:r>
        <w:rPr>
          <w:rFonts w:hint="eastAsia"/>
          <w:sz w:val="24"/>
        </w:rPr>
        <w:t>(2)逆城市化          人们对环境质量要求提高(或郊区环境质量较好)，乡村和小城镇基础设施逐步完善；私人小汽车的普及和交通、通信的现代化，缩短了城市与郊区的距离；城市</w:t>
      </w:r>
      <w:r>
        <w:rPr>
          <w:sz w:val="24"/>
        </w:rPr>
        <w:t>交通拥挤、犯罪增长、污染严重等城市问题的压力日</w:t>
      </w:r>
      <w:r>
        <w:rPr>
          <w:rFonts w:hint="eastAsia"/>
          <w:sz w:val="24"/>
        </w:rPr>
        <w:t>渐</w:t>
      </w:r>
      <w:r>
        <w:rPr>
          <w:sz w:val="24"/>
        </w:rPr>
        <w:t>增大</w:t>
      </w:r>
      <w:r>
        <w:rPr>
          <w:rFonts w:hint="eastAsia"/>
          <w:sz w:val="24"/>
        </w:rPr>
        <w:t>。（4分）</w:t>
      </w:r>
    </w:p>
    <w:p>
      <w:pPr>
        <w:spacing w:line="360" w:lineRule="auto"/>
        <w:rPr>
          <w:sz w:val="24"/>
        </w:rPr>
      </w:pPr>
      <w:r>
        <w:rPr>
          <w:rFonts w:hint="eastAsia"/>
          <w:sz w:val="24"/>
        </w:rPr>
        <w:t>(3)发达      发展中       发达国家在农业中就业比例低，在服务业中就业比例高；发展中国家在农业中就业比例高，在服务业中就业比例低。（4分）</w:t>
      </w:r>
    </w:p>
    <w:p>
      <w:pPr>
        <w:spacing w:line="360" w:lineRule="auto"/>
        <w:rPr>
          <w:sz w:val="24"/>
        </w:rPr>
      </w:pPr>
      <w:r>
        <w:rPr>
          <w:rFonts w:hint="eastAsia"/>
          <w:sz w:val="24"/>
        </w:rPr>
        <w:t>27. （1）小       南方地区多山地丘陵，地形崎岖，耕地面积少，自然条件差；地处山区，交通不便；经济发展水平较北部地区低等（4分）。</w:t>
      </w:r>
    </w:p>
    <w:p>
      <w:pPr>
        <w:spacing w:line="360" w:lineRule="auto"/>
        <w:rPr>
          <w:sz w:val="24"/>
        </w:rPr>
      </w:pPr>
      <w:r>
        <w:rPr>
          <w:rFonts w:hint="eastAsia"/>
          <w:sz w:val="24"/>
        </w:rPr>
        <w:t>（2）位于亚热带季风气候区，水热条件好且雨热同期；地形平坦；土壤肥沃；人口稠密、劳动力资源丰富；水稻种植历史悠久，经验丰富；人们有喜食大米的传统等。（6分）</w:t>
      </w:r>
    </w:p>
    <w:p>
      <w:pPr>
        <w:spacing w:line="360" w:lineRule="auto"/>
        <w:rPr>
          <w:sz w:val="24"/>
        </w:rPr>
      </w:pPr>
      <w:r>
        <w:rPr>
          <w:rFonts w:hint="eastAsia"/>
          <w:sz w:val="24"/>
        </w:rPr>
        <w:t>（3）现代交通运输的发展和交通条件的改善；冷藏保鲜技术的不断提高；绿色通道的开通扩大了销售范围。（2分）</w:t>
      </w:r>
    </w:p>
    <w:p>
      <w:pPr>
        <w:spacing w:line="360" w:lineRule="auto"/>
        <w:rPr>
          <w:sz w:val="24"/>
        </w:rPr>
      </w:pPr>
      <w:r>
        <w:rPr>
          <w:rFonts w:hint="eastAsia"/>
          <w:sz w:val="24"/>
        </w:rPr>
        <w:t xml:space="preserve">28. （1）商品谷物农业；  小麦和玉米 ；      </w:t>
      </w:r>
    </w:p>
    <w:p>
      <w:pPr>
        <w:spacing w:line="360" w:lineRule="auto"/>
        <w:rPr>
          <w:sz w:val="24"/>
        </w:rPr>
      </w:pPr>
      <w:r>
        <w:rPr>
          <w:rFonts w:hint="eastAsia"/>
          <w:sz w:val="24"/>
        </w:rPr>
        <w:t>不同之处：美国还有乳畜业生产；而我国东北部地区则有水稻种植。</w:t>
      </w:r>
      <w:r>
        <w:rPr>
          <w:rFonts w:hint="eastAsia"/>
          <w:sz w:val="24"/>
        </w:rPr>
        <w:tab/>
      </w:r>
      <w:r>
        <w:rPr>
          <w:rFonts w:hint="eastAsia"/>
          <w:sz w:val="24"/>
        </w:rPr>
        <w:t>（4分）</w:t>
      </w:r>
    </w:p>
    <w:p>
      <w:pPr>
        <w:spacing w:line="360" w:lineRule="auto"/>
        <w:rPr>
          <w:sz w:val="24"/>
        </w:rPr>
      </w:pPr>
      <w:r>
        <w:rPr>
          <w:rFonts w:hint="eastAsia"/>
          <w:sz w:val="24"/>
        </w:rPr>
        <w:tab/>
      </w:r>
      <w:r>
        <w:rPr>
          <w:rFonts w:hint="eastAsia"/>
          <w:sz w:val="24"/>
        </w:rPr>
        <w:t>（2）夏季高温多雨；水源充足；地形平坦；土壤肥沃。（4分）</w:t>
      </w:r>
    </w:p>
    <w:p>
      <w:pPr>
        <w:spacing w:line="360" w:lineRule="auto"/>
        <w:rPr>
          <w:sz w:val="24"/>
        </w:rPr>
      </w:pPr>
      <w:r>
        <w:rPr>
          <w:rFonts w:hint="eastAsia"/>
          <w:sz w:val="24"/>
        </w:rPr>
        <w:tab/>
      </w:r>
      <w:r>
        <w:rPr>
          <w:rFonts w:hint="eastAsia"/>
          <w:sz w:val="24"/>
        </w:rPr>
        <w:t>（3）我国东北地区偏北，纬度高热量不足。（1分）</w:t>
      </w:r>
    </w:p>
    <w:p>
      <w:pPr>
        <w:spacing w:line="360" w:lineRule="auto"/>
        <w:rPr>
          <w:sz w:val="24"/>
        </w:rPr>
      </w:pPr>
      <w:r>
        <w:rPr>
          <w:rFonts w:hint="eastAsia"/>
          <w:sz w:val="24"/>
        </w:rPr>
        <w:tab/>
      </w:r>
      <w:r>
        <w:rPr>
          <w:rFonts w:hint="eastAsia"/>
          <w:sz w:val="24"/>
        </w:rPr>
        <w:t>（4）美国土壤有机质含量高于我国东北；这里热量条件优于我国东北；降水略多；美国农业科技水平高于我国。（4分）</w:t>
      </w:r>
    </w:p>
    <w:p>
      <w:pPr>
        <w:spacing w:line="360" w:lineRule="auto"/>
        <w:rPr>
          <w:sz w:val="24"/>
        </w:rPr>
      </w:pPr>
      <w:r>
        <w:rPr>
          <w:rFonts w:hint="eastAsia"/>
          <w:sz w:val="24"/>
        </w:rPr>
        <w:t>29. (1)①降水季节和年际变化大，水旱灾频发②人口稠密，人均耕地少（2分）</w:t>
      </w:r>
    </w:p>
    <w:p>
      <w:pPr>
        <w:spacing w:line="360" w:lineRule="auto"/>
        <w:rPr>
          <w:sz w:val="24"/>
        </w:rPr>
      </w:pPr>
      <w:r>
        <w:rPr>
          <w:rFonts w:hint="eastAsia"/>
          <w:sz w:val="24"/>
        </w:rPr>
        <w:t>(2)①纬度高，水稻生长期长，品质优良；②基础设施完善，机械化水平高；③劳动力素质高，科技水平高。（3分）</w:t>
      </w:r>
    </w:p>
    <w:p>
      <w:pPr>
        <w:spacing w:line="360" w:lineRule="auto"/>
        <w:rPr>
          <w:sz w:val="24"/>
        </w:rPr>
      </w:pPr>
      <w:r>
        <w:rPr>
          <w:rFonts w:hint="eastAsia"/>
          <w:sz w:val="24"/>
        </w:rPr>
        <w:t>(3)可信。④东北地区气候与日本相近，光热条件相同，形成相同的地带性土壤；②东北地区地形平坦，人均耕地广，日本以山地为主，人口稠密，人均耕地少；③东北的水稻种植环境优于日本，日本人口稠密，稻米需求量大；④日本劳动力价格高于东北地区；⑤日本粮商通过商业运作，赚取高额利差。（4分）</w:t>
      </w:r>
    </w:p>
    <w:p>
      <w:pPr>
        <w:spacing w:line="360" w:lineRule="auto"/>
        <w:rPr>
          <w:sz w:val="24"/>
        </w:rPr>
      </w:pPr>
      <w:r>
        <w:rPr>
          <w:rFonts w:hint="eastAsia"/>
          <w:sz w:val="24"/>
        </w:rPr>
        <w:t>(4)①我国水稻生产要加强科技投入，特别是在生产链条上种植之外的环节领域；②要注重环境保护，优良的环境才能种植出放心粮食；③多结合市场需求研发新品种，适应市场需求；④改进营销方法的同时注重品质，提升消费者对本国产品的信心等。（4分）</w:t>
      </w:r>
    </w:p>
    <w:p>
      <w:pPr>
        <w:spacing w:line="360" w:lineRule="auto"/>
        <w:rPr>
          <w:sz w:val="24"/>
        </w:rPr>
      </w:pPr>
    </w:p>
    <w:p>
      <w:pPr>
        <w:adjustRightInd w:val="0"/>
        <w:snapToGrid w:val="0"/>
        <w:spacing w:line="360" w:lineRule="auto"/>
        <w:rPr>
          <w:rFonts w:asciiTheme="majorEastAsia" w:hAnsiTheme="majorEastAsia" w:eastAsiaTheme="majorEastAsia" w:cstheme="majorEastAsia"/>
          <w:b/>
          <w:szCs w:val="21"/>
        </w:rPr>
      </w:pPr>
    </w:p>
    <w:p>
      <w:pPr>
        <w:adjustRightInd w:val="0"/>
        <w:snapToGrid w:val="0"/>
        <w:spacing w:line="360" w:lineRule="auto"/>
        <w:rPr>
          <w:rFonts w:asciiTheme="majorEastAsia" w:hAnsiTheme="majorEastAsia" w:eastAsiaTheme="majorEastAsia" w:cstheme="majorEastAsia"/>
          <w:b/>
          <w:szCs w:val="21"/>
        </w:rPr>
      </w:pPr>
    </w:p>
    <w:p/>
    <w:sectPr>
      <w:pgSz w:w="11906" w:h="16838"/>
      <w:pgMar w:top="1417" w:right="1417" w:bottom="1417" w:left="1417" w:header="850"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91625F"/>
    <w:multiLevelType w:val="multilevel"/>
    <w:tmpl w:val="5191625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D54309A"/>
    <w:multiLevelType w:val="multilevel"/>
    <w:tmpl w:val="5D54309A"/>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A71CBD"/>
    <w:rsid w:val="1EDC1C06"/>
    <w:rsid w:val="2DA71CB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纯文本_0"/>
    <w:basedOn w:val="1"/>
    <w:qFormat/>
    <w:uiPriority w:val="0"/>
    <w:rPr>
      <w:rFonts w:ascii="宋体" w:hAnsi="Courier New" w:eastAsia="宋体" w:cs="Courier New"/>
      <w:szCs w:val="21"/>
    </w:rPr>
  </w:style>
  <w:style w:type="paragraph" w:customStyle="1"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file:///F:\&#20154;&#25945;&#22320;&#29702;&#24517;&#20462;2\84.TIF" TargetMode="External"/><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file:///F:\&#20154;&#25945;&#22320;&#29702;&#24517;&#20462;2\3-22.tif" TargetMode="Externa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2021-04-13T09:18:00Z</dcterms:created>
  <dc:creator>Administrator</dc:creator>
  <cp:lastModifiedBy>Administrator</cp:lastModifiedBy>
  <dcterms:modified xsi:type="dcterms:W3CDTF">2021-04-15T07:20:46Z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3B27AF86A5D742A191C86FDA215BDA77</vt:lpwstr>
  </property>
</Properties>
</file>