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绝密</w:t>
      </w:r>
      <w:r>
        <w:rPr>
          <w:rFonts w:ascii="宋体" w:hAnsi="宋体" w:eastAsia="宋体" w:cs="Times New Roman"/>
          <w:sz w:val="21"/>
          <w:szCs w:val="21"/>
          <w:lang w:eastAsia="zh-CN"/>
        </w:rPr>
        <w:t>★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启用前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平顶山市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 xml:space="preserve">2020-2021 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学年第一学期高二期末调研考试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生物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考生注意：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答题前，考生务必将自己的姓名、考生号填写在试卷和答题卡上，并将考生号条形码粘贴在答题卡上的指定位置。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回答选择题时，选出每小题答案后，用铅笔把答题卡对应题目的答案标号涂黑。如需改动，用橡皮擦干净后，再选涂其他答案标号。回答非选择题时，将答案写在答题卡上。写在本试卷上无效。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考试结束后，将本试卷和答题卡一并交回。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分。在每小题给出的四个选项中，只有一项是符合题目要求的。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内环境是细胞赖以生存的液体环境。下列有关叙述正确的是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内环境包括组织液、淋巴和血液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尿素、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和淋巴因子均属于内环境的成分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内环境是细胞代谢的主要场所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理化性质保持相对稳定时，内环境处于稳态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神经调节是机体调节生命活动的主要方式之一，下列关于神经调节的叙述，正确的是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条件反射是神经调节的基本方式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只要存在完整的反射弧即可完成反射活动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人体欲完成某反射活动至少需要三个神经元参与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所有神经调节过程均需要中枢神经系统的参与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下图为突触的结构以及兴奋在突触处的传递过程的部分示意图。下列分析错误的是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839720" cy="1472565"/>
            <wp:effectExtent l="0" t="0" r="177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细胞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可能是肌细胞或腺体细胞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蛋白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可识别神经递质，引起相应的离子通道开启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神经递质都是大分子物质，只能通过胞吐运出细胞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神经递质的降解可防止突触后膜持续兴奋或抑制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卡因既是一种兴命剂，也是一种毒品，它会影响大脑中与愉悦传递有关的神经元，这些神经元利用神经递质－多巴胺来传递愉悦感。吸食可卡因后，可卡因会使转运蛋白失去回收多巴胺的功能，使多巴胺长时间发挥作用，最终导致突触后膜上的多巴胺受体减少，从而使人上瘾，且极难戒治。下列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多巴胺可与突触后膜上的特异性受体结合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可卡因作为神经递质能够提高神经系统的兴奋性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突触前膜上可能含有能与可卡因结合的多巴胺运载体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突触后膜结构的改变是导致毒瘾极难戒治的原因之一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下图表示神经元之间形成的环状连接方式，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表示神经纤维上的两点，中间神经元释放的神经递质可以抑制下一神经元的兴奋。下列分析正确的是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839720" cy="760095"/>
            <wp:effectExtent l="0" t="0" r="1778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刺激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点膜外电位由负变正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中间神经元可使肌肉不过度兴奋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直接刺激中间神经元可使肌肉收缩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中间神经元兴奋不会引起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点膜电位发生变化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人脑有很多复杂的高级功能，是整个神经系统中最高级的部位。下列有关人脑高级功能的叙述，错误的是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短期记忆主要与神经元的活动及神经元之间的联系有关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人脑可参与对外部世界的感知及机体对反射活动的控制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大脑皮层言语区的损伤会导致特有的各种言语活动功能障碍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免疫系统中记忆细胞的记忆功能与新突触的建立有关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失血可促进肾小球旁器的球旁细胞分泌肾素，进入血液后，导致肝产生的血管紧张素原水解为血管紧张素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随血液流经肺循环时，在肺部产生的转化酶的作用下，被水解为八肽的激素－血管紧张素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该激素能使全身小动脉收缩而升高血压。下列有关血管紧张素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的叙述，正确的是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既可口服也可注射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是由相关内分泌腺分泌的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大量失血的病人血液中血管紧张素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含量降低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血管紧张素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II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与相应的受体结合，可使血压升高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下丘脑在水盐平衡调节与体温调节过程中有重要作用，下列有关叙述正确的是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寒冷刺激时，下丘脑释放的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TRH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不会增加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炎热刺激时，下丘脑支配肾上腺的活动会增强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食物过咸时，下丘脑释放的抗利尿激素增加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饮水过多时，下丘脑会感受到内环境渗透压下降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如图表示进食后某高血糖病人体内胰岛素含量的变化，下列叙述正确是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67915" cy="1308735"/>
            <wp:effectExtent l="0" t="0" r="1333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A.0~20 min,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该病人体内血糖浓度的变化趋势应该是先降低再升高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B.~5 min,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胰岛素含量激增可能是因为胰岛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细胞中储存的胰岛素大量释放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C.20 min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以后，该病人体内的胰高血糖素在肝脏中大量生成，其含量也增加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D.20 min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以后，该病人体内脂肪酶的活性增加，脂肪酸大量进人血液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人的体温会因年龄不同而存在微小差异，下表为不同年龄人体体温。下列叙述错误的是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593725"/>
            <wp:effectExtent l="0" t="0" r="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不同年龄段的人，体温均处于一定的范围内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36.1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上升至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37.8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过程中，体内甲状腺激素分泌增加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岁的小明体温保持在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37.5</w:t>
      </w:r>
      <w:r>
        <w:rPr>
          <w:rFonts w:ascii="宋体" w:hAnsi="宋体" w:eastAsia="宋体" w:cs="Times New Roman"/>
          <w:sz w:val="21"/>
          <w:szCs w:val="21"/>
          <w:lang w:eastAsia="zh-CN"/>
        </w:rPr>
        <w:t>℃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时，机体产热量大于散热量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老年人（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岁以上）怕冷可能与其体温较低有关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特异性免疫是机体接触特定病原休后，产生能识别并针对特定病原体启动的免疫反应，其功能过强或过弱均可引起机体发生病变。下列叙述合理的是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体液免疫中产生的抗体可裂解靶细胞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浆细胞表面含有识别特定抗原的受体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过敏反应是机体对白身抗原特异性免疫功能过强引起的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艾滋病患者的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细胞被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HIV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破坏，其特异性免疫功能过弱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经反复实验，新冠疫苗已经上市，疫苗接种将有序推进，首先对重点人群进行接种。下列叙述错误的是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制备疫苗时，可对病毒进行火活或减毒处理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疫苗接种后，可刺激机体产生相应抗体和记忆细胞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首先对重点人群接种，因为他们接触新冠病毒的机会多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167640</wp:posOffset>
            </wp:positionV>
            <wp:extent cx="1847850" cy="1164590"/>
            <wp:effectExtent l="0" t="0" r="0" b="16510"/>
            <wp:wrapTight wrapText="bothSides">
              <wp:wrapPolygon>
                <wp:start x="0" y="0"/>
                <wp:lineTo x="0" y="21200"/>
                <wp:lineTo x="21377" y="21200"/>
                <wp:lineTo x="21377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接种新冠疫苗后，机体患病风险降低，可不采取防护措施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某同学设计了如图甲、乙两组实验，下列有关叙述错误的是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组实验的结果是直立生长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组实验的结果是向右弯曲生长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两组对照可以排除琼脂块对实验的影响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实验在黑暗环境中进行，可排除无关变量的影响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三碘苯甲酸（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TIBA)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是一种人工合成的阻碍生长素运输的物质。在大豆开花期喷施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TIBA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可使植株变矮，分枝增加，提高结荚率，增加产量。下列有关分析不合理的是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植株变矮的原因可能是顶芽处生长素浓度过高抑制生长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分枝增加的原因是侧芽处生长素浓度降低，促进了侧芽的生长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结荚率提高的原因是一定浓度的生长素可以防止落花落果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三碘苯甲酸是－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种调节植物生长发育的植物激素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某同学取燕麦胚芽鞘的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段，设置如下图所示的四组实验。下列有关叙述错误的是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503295" cy="1877060"/>
            <wp:effectExtent l="0" t="0" r="190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实验中运用了放射性同位素标记法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两组实验可以说明生长素的极性运输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设置</w:t>
      </w:r>
      <w:r>
        <w:rPr>
          <w:rFonts w:ascii="宋体" w:hAnsi="宋体" w:eastAsia="宋体" w:cs="Times New Roman"/>
          <w:sz w:val="21"/>
          <w:szCs w:val="21"/>
          <w:lang w:eastAsia="zh-CN"/>
        </w:rPr>
        <w:t>③④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组实验的口的是排除重力因素的影响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组的受体块中含有生长素，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组的受体块中不含生长素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种群密度是种群最基本的数量特征。下列有关叙述错误的是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农田中，单位面积内杂草的数量可表示种群密度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有趋光性的蛾类常用黑光灯诱捕法调查其种群密度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年龄结构对种群密度的影响通过出生率和死亡率来实现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种群密度能直观体现种群数量大小但不能反映变化趋势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自然界中，种群的数量增长一般表现为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“S”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型增长曲线。下列叙述合理的是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种群数量大于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K/2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值时，出生率小于死亡率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值与环境条件有关，与其他生物无关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防治蝗灾时，应在种群数量达到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K/2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值后采取措施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农作物合理密植时，其种群数量一般不会超过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群落是聚集在一定区域中各种生物种群的集合。下列有关叙述错误的是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水库中所有的动物和植物构成一个群落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区别两个不同群落的重要特征是物种组成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依据群落结构的原理可进行农作物间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54000" cy="254000"/>
            <wp:effectExtent l="0" t="0" r="12700" b="1270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作套种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捕食关系属于群落水平上进行的研究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如图为某自然保护区内相应湿地的地下水位与地表距离测定结果。下列有关叙述错误的是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080385" cy="1328420"/>
            <wp:effectExtent l="0" t="0" r="5715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种湿地的分布体现了群落的水平结构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影响湿地类型发生变化的主要环境因素是光照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沼泽区湿地上发生的演替属于次生演替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毛赤杨种群数量的变化过程中存在反馈调节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久早必有蝗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，蝗虫有散居型和群居型两种。蝗虫喜欢在干燥的土壤中产卵，且当植被覆盖率低时，蝗虫会获得更多的产卵场所。雌虫在产卵时会释放信息素，可吸引雄虫交尾。下列有关叙述错误的是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散居型和群居型体现了种群的空间特征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可通过提高植被覆盖率来防治蝗虫，减轻蝗虫危害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利用信息素干扰蝗虫交尾以防治蝗虫，属于化学防治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上述实例可说明信息传递有利于蝗虫种群的繁衍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下列调查实验的操作中，会使调查值偏大的是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用样方法调查某地蒲公英的种群密度时，未统计压在边线上的个体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用标志重捕法调查某地雪兔的种群密度时，标记的雪兔被大量捕食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调查酵母菌的种群数量时，酵母菌培养液木沉降到计数室底部就开始计数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调查土壤中小动物的类群丰富度时，用诱虫器采集小动物时没有打开装置上的电灯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食物链和食物网是生态系统的营养结构。下列有关叙述正确的是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食物链出生产者、消费者和分解者构成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食物网中，某种动物的位置是不可替代的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食物网中，植食性动物处于不同的营养级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食物网越复杂，生态系统的白我调节能力越强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如图表示某草原生态系统中种群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的关系，下列叙述正确的是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58390" cy="1299210"/>
            <wp:effectExtent l="0" t="0" r="3810" b="152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的每一个体含有的能最都比种群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粪便中的能量属于种群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所同化的能量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以该草原生态系统为单位开展物质循环的研究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碳元素在种群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之间以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CO2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的形式传递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如图表示第二营养级的能量分配情况，图中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所表示的能量为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83865" cy="1039495"/>
            <wp:effectExtent l="0" t="0" r="6985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第二营养级同化的能量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用于自身生长、发育和繁殖等生命活动的能量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流向分解者的能量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第三营养级所同化的能量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下列有关生态系统的稳定性及生物多样性的叙述，错误的是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单一树种的人工林比混合树种的天然林更容易遭受病虫害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虎有东北虎、华南虎、西伯利亚虎、孟加拉虎等，这体现了物种的多样性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科学家利用野生水稻培育高产杂交水稻，体现了生物多样性的直接价值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草原遭受蝉虫采食后，植物的再生能力增强。减缓种群数量下降，体现了生态系统的抵抗力稳定性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26.(10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分）甲状腺激素由甲状腺分泌，可从多方面调节新陈代谢与生长发育。甲状腺是人体最大的内分泌腺，正常成人的甲状腺重约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血液供应十分丰富。请回答下列问题：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幼年时期人体若缺少中状腺激素，则易患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，该现象说明甲状腺激素的作用是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寒冷时，通过神经调节和体液调节可使中状腺激素的分泌量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，在此过程中，神经调节的效应器是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，甲状腺激素在体液调节过程中作用的靶细胞是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缺碘会导致甲状腺肿大（俗称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大脖子病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），其机理是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甲状腺激素有结合型和游离型两种形式，结合型甲状腺激素是激素的储存和运输形式，游离型甲状腺激素才具有生物活性。甲状腺激素以两种形式存在的意义是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27.(11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分）市场上出现了－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种新型止痛药物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某科研人员为探究该药物的作用机理及作用效果，利用兔子屈肌制作了反射实验装置，如图所示。在实验位点可以进行药物处理或电刺激。假设药物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在实验位点起作用后，其作用效果在实验过程中都不能消除。其中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表示神经纤维上的实验位点，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Z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为突触间隙，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表示电流计与神经纤维的接触点。请回答下列问题：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64815" cy="1261110"/>
            <wp:effectExtent l="0" t="0" r="6985" b="152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表示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Y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处各给予，个适宜的刺激，电流计指针发生偏转的次数分别为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次和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能够作用于突触，试分析其作用机理可能是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（答出两点）；若药物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作用于神经纤维，其作用机理可能是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若科研人员已经证明该药物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作用于突触处，试利用上述装置验证药物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的作用机理：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处，刺激感受器，观察肌肉收缩情况。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处理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处，刺激感受器，观察肌肉收缩情况。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若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，则证明药物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作用于突触处。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8.(9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分）用传统方法生产啤洒时，需利用大麦芽中的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淀粉酶使淀粉糖化和蛋白质分解，但该方法耗时耗力。研究发现，赤霉素能诱导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淀粉酶的形成，只要用赤霉素处理大麦，就能使糊粉层细胞形成淀粉酶，完成糖化过程，且不影响啤洒品质。赤霉素（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诱导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淀粉酶形成的机理如图所示，请回答下列有关问题：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350385" cy="4909185"/>
            <wp:effectExtent l="0" t="0" r="12065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大麦种子中，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只能作用于糊粉层细胞的根本原因是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2)GA-MYB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转录因子和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淀粉酶是糊粉层细中合成的两种不同的蛋白质，从合成的场所分析，二者的区别是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据图分析，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淀粉酶基因转录的机制是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结合后，经过一系列过程使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信号中间产物活化，活化的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信号中间产物进人细胞核后会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除图示中作用外，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还具有的作用有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（答出两点）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29.(10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分）为增加草原的物种丰富度，科研人员经过反复实验后，先后引入甲、乙两个物种，引种后两物种的数量变化如图所示。请回答下列问题：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137535" cy="1203325"/>
            <wp:effectExtent l="0" t="0" r="5715" b="158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时，甲种群的出生率约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等于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）死亡率，种群数量出现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值的原因是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据图分析，甲、乙两物种间的关系为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；从能量流动的角度分析，二者之间的能量流动关系是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。图中</w:t>
      </w:r>
      <w:r>
        <w:rPr>
          <w:rFonts w:ascii="Times New Roman" w:hAnsi="宋体" w:eastAsia="宋体" w:cs="Times New Roman"/>
          <w:sz w:val="21"/>
          <w:szCs w:val="21"/>
        </w:rPr>
        <w:t>い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之前，甲种群的年龄结构类型为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增长型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稳定型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衰退型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若科研人员在引种前未进行相关实验，直接引种，可能产生的结果有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（答出两点）。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30.(10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生态修复是指对生态系统停止人为干扰，利用生态系统的自我恢复能力，辅以人工措施，使遭到破坏的生态系统逐步恢复。水体富营养化严重污染水体，可利用复合式生态浮床技术将植物分布为两层，并结合照明、通气等技术，有效地对富营养化的水体进行生态修复。请回答下列问题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水体富营养化是由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过多引起的，水体富营养化会导致水体中溶解氧急剧降低，原因是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生态浮床中的植物与水中的藻类具有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关系。生态浮床中的曝气头不断地进行曝气，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其目的是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复合式生态浮床技术能净化水质，修复富营养化的水体，这体现的是生物多样性的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价值。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有人提出，复合式生态浮床能够抑制水体藻类的快速繁殖，这种说法是否合理，理由是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.</w:t>
      </w:r>
    </w:p>
    <w:p>
      <w:pPr>
        <w:pStyle w:val="2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 xml:space="preserve">2020-2021 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学年第一学期高二期末调研考试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生物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答案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1~25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1.B2.D3.C4.B5.B6.D7.D8.D9.B10.C11.D12.D13.A14.D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15.D16.A17.D18.A19.B20.C21.B22.D23.B24.A25.B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26.(</w:t>
      </w:r>
      <w:r>
        <w:rPr>
          <w:rFonts w:ascii="Times New Roman" w:hAnsi="宋体" w:eastAsia="宋体" w:cs="Times New Roman"/>
          <w:sz w:val="21"/>
          <w:szCs w:val="21"/>
        </w:rPr>
        <w:t>除注明外，每空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呆小症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促进机体生长发育，促进中枢神经系统的发育（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神经末梢及其支配的下丘脑分泌细胞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几乎全身的组织细胞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碘是合成甲状腺激素的原料，缺碘导致甲状腺激素合成受阻，甲状腺激素含量降低减弱了对下丘脑和垂体的抑制作用，垂体分泌的促甲状腺激素（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TSH)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增多，促进甲状腺的生长发育，患者的甲状腺较正常人肿大（答案合理即可给分，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使体液中甲状腺激素含量保持动态平衡，保证机体生命活动的正常进行（答案合理即可给分，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27.(</w:t>
      </w:r>
      <w:r>
        <w:rPr>
          <w:rFonts w:ascii="Times New Roman" w:hAnsi="宋体" w:eastAsia="宋体" w:cs="Times New Roman"/>
          <w:sz w:val="21"/>
          <w:szCs w:val="21"/>
        </w:rPr>
        <w:t>除注明外，每空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sz w:val="21"/>
          <w:szCs w:val="21"/>
        </w:rPr>
        <w:t>11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效应器（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0(1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2(1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可能会阻止突触前膜释放神经递质；药物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可能会阻止神经递质与突触后膜受体结合［或药物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可能会促进神经递质分解（失活），答案合理即可给分］药物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能抑制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Na*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内流，阻止神经纤维形成动作电位（答案合理即可给分）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3)Z 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条件下肌肉发生收缩，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条件下肌肉不发生收缩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28.(</w:t>
      </w:r>
      <w:r>
        <w:rPr>
          <w:rFonts w:ascii="Times New Roman" w:hAnsi="宋体" w:eastAsia="宋体" w:cs="Times New Roman"/>
          <w:sz w:val="21"/>
          <w:szCs w:val="21"/>
        </w:rPr>
        <w:t>除注明外，每空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sz w:val="21"/>
          <w:szCs w:val="21"/>
        </w:rPr>
        <w:t>9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大麦种子中，只有糊粉层细胞上具有赤霉素的特异性受体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2)GA-MYB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转录因子是在游离的核糖体上合成的，而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淀粉酶是在附着在内质网上的核糖体上合成的（答案合理即可给分）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3)GA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受体（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分）解除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GA-MYB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基因前端的阻遏物的阻抑作用，使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GA-MYB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基因表达，从而启动</w:t>
      </w:r>
      <w:r>
        <w:rPr>
          <w:rFonts w:ascii="Times New Roman" w:hAnsi="Times New Roman" w:eastAsia="宋体" w:cs="Times New Roman"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淀粉酶基因的转录（答案合理即可给分）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促进细胞伸长、促进种子萌发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29.(</w:t>
      </w:r>
      <w:r>
        <w:rPr>
          <w:rFonts w:ascii="Times New Roman" w:hAnsi="宋体" w:eastAsia="宋体" w:cs="Times New Roman"/>
          <w:sz w:val="21"/>
          <w:szCs w:val="21"/>
        </w:rPr>
        <w:t>除注明外，每空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sz w:val="21"/>
          <w:szCs w:val="21"/>
        </w:rPr>
        <w:t>10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等于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资源和空间是有限的，种群密度增大时，种内斗争加剧，导致出生率降低、死亡率升高，当二者相等时种群数量达到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值（答案合理即可给分）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捕食（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分）能量由甲种群流向乙种群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增长型（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导致当地生物多样性丧失、增加当地物种丰富度、引入物种不适应环境被淘汰（任答两点，答案合理即可给分）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30.(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除注明外，每空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水体中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等无机盐含量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水体中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等营养物质含量过多，会引起藻类及其他浮游生物迅速繁殖，水体溶解氧量下降（答案合理即可给分，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竞争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促进需氧微生物的有氧呼吸，有利于降解有机污染物（答案合理即可给分，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间接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合理（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分），复合式生态浮床能有效遮挡阳光，使光线不足，从而抑制藻类的繁殖（答案合理即可给分，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F5E73"/>
    <w:rsid w:val="403F5E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2021-02-21T15:56:00Z</dcterms:created>
  <dc:creator>Administrator</dc:creator>
  <cp:lastModifiedBy>Administrator</cp:lastModifiedBy>
  <dcterms:modified xsi:type="dcterms:W3CDTF">2021-02-21T15:56:18Z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