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keepNext w:val="0"/>
        <w:keepLines w:val="0"/>
        <w:pageBreakBefore w:val="0"/>
        <w:kinsoku/>
        <w:wordWrap/>
        <w:overflowPunct/>
        <w:topLinePunct w:val="0"/>
        <w:autoSpaceDE/>
        <w:autoSpaceDN/>
        <w:bidi w:val="0"/>
        <w:adjustRightInd/>
        <w:snapToGrid/>
        <w:spacing w:line="288" w:lineRule="auto"/>
        <w:jc w:val="center"/>
        <w:rPr>
          <w:rFonts w:ascii="黑体" w:eastAsia="黑体" w:hAnsi="黑体" w:cs="黑体" w:hint="eastAsia"/>
          <w:b/>
          <w:bCs/>
          <w:color w:val="auto"/>
          <w:sz w:val="32"/>
          <w:szCs w:val="32"/>
        </w:rPr>
      </w:pPr>
      <w:r>
        <w:rPr>
          <w:rFonts w:ascii="黑体" w:eastAsia="黑体" w:hAnsi="黑体" w:cs="黑体" w:hint="eastAsia"/>
          <w:b/>
          <w:bCs/>
          <w:color w:val="auto"/>
          <w:sz w:val="32"/>
          <w:szCs w:val="32"/>
        </w:rPr>
        <w:drawing>
          <wp:anchor simplePos="0" relativeHeight="251658240" behindDoc="0" locked="0" layoutInCell="1" allowOverlap="1">
            <wp:simplePos x="0" y="0"/>
            <wp:positionH relativeFrom="page">
              <wp:posOffset>10820400</wp:posOffset>
            </wp:positionH>
            <wp:positionV relativeFrom="topMargin">
              <wp:posOffset>12369800</wp:posOffset>
            </wp:positionV>
            <wp:extent cx="317500" cy="469900"/>
            <wp:wrapNone/>
            <wp:docPr id="1000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291143" name=""/>
                    <pic:cNvPicPr>
                      <a:picLocks noChangeAspect="1"/>
                    </pic:cNvPicPr>
                  </pic:nvPicPr>
                  <pic:blipFill>
                    <a:blip xmlns:r="http://schemas.openxmlformats.org/officeDocument/2006/relationships" r:embed="rId5"/>
                    <a:stretch>
                      <a:fillRect/>
                    </a:stretch>
                  </pic:blipFill>
                  <pic:spPr>
                    <a:xfrm>
                      <a:off x="0" y="0"/>
                      <a:ext cx="317500" cy="469900"/>
                    </a:xfrm>
                    <a:prstGeom prst="rect">
                      <a:avLst/>
                    </a:prstGeom>
                  </pic:spPr>
                </pic:pic>
              </a:graphicData>
            </a:graphic>
          </wp:anchor>
        </w:drawing>
      </w:r>
      <w:r>
        <w:rPr>
          <w:rFonts w:ascii="黑体" w:eastAsia="黑体" w:hAnsi="黑体" w:cs="黑体" w:hint="eastAsia"/>
          <w:b/>
          <w:bCs/>
          <w:color w:val="auto"/>
          <w:sz w:val="32"/>
          <w:szCs w:val="32"/>
        </w:rPr>
        <w:t>沧州一中高二年级第</w:t>
      </w:r>
      <w:r>
        <w:rPr>
          <w:rFonts w:ascii="黑体" w:eastAsia="黑体" w:hAnsi="黑体" w:cs="黑体" w:hint="eastAsia"/>
          <w:b/>
          <w:bCs/>
          <w:color w:val="auto"/>
          <w:sz w:val="32"/>
          <w:szCs w:val="32"/>
          <w:lang w:val="en-US" w:eastAsia="zh-CN"/>
        </w:rPr>
        <w:t>三</w:t>
      </w:r>
      <w:r>
        <w:rPr>
          <w:rFonts w:ascii="黑体" w:eastAsia="黑体" w:hAnsi="黑体" w:cs="黑体" w:hint="eastAsia"/>
          <w:b/>
          <w:bCs/>
          <w:color w:val="auto"/>
          <w:sz w:val="32"/>
          <w:szCs w:val="32"/>
        </w:rPr>
        <w:t>次学段检测</w:t>
      </w:r>
    </w:p>
    <w:p>
      <w:pPr>
        <w:keepNext w:val="0"/>
        <w:keepLines w:val="0"/>
        <w:pageBreakBefore w:val="0"/>
        <w:kinsoku/>
        <w:wordWrap/>
        <w:overflowPunct/>
        <w:topLinePunct w:val="0"/>
        <w:autoSpaceDE/>
        <w:autoSpaceDN/>
        <w:bidi w:val="0"/>
        <w:adjustRightInd/>
        <w:snapToGrid/>
        <w:spacing w:line="288" w:lineRule="auto"/>
        <w:jc w:val="center"/>
        <w:rPr>
          <w:rFonts w:ascii="黑体" w:eastAsia="黑体" w:hAnsi="黑体" w:cs="黑体"/>
          <w:b/>
          <w:bCs/>
          <w:color w:val="auto"/>
          <w:sz w:val="32"/>
          <w:szCs w:val="32"/>
        </w:rPr>
      </w:pPr>
      <w:r>
        <w:rPr>
          <w:rFonts w:ascii="黑体" w:eastAsia="黑体" w:hAnsi="黑体" w:cs="黑体" w:hint="eastAsia"/>
          <w:b/>
          <w:bCs/>
          <w:color w:val="auto"/>
          <w:sz w:val="32"/>
          <w:szCs w:val="32"/>
        </w:rPr>
        <w:t>生物试题（202</w:t>
      </w:r>
      <w:r>
        <w:rPr>
          <w:rFonts w:ascii="黑体" w:eastAsia="黑体" w:hAnsi="黑体" w:cs="黑体" w:hint="eastAsia"/>
          <w:b/>
          <w:bCs/>
          <w:color w:val="auto"/>
          <w:sz w:val="32"/>
          <w:szCs w:val="32"/>
          <w:lang w:val="en-US" w:eastAsia="zh-CN"/>
        </w:rPr>
        <w:t>1</w:t>
      </w:r>
      <w:r>
        <w:rPr>
          <w:rFonts w:ascii="黑体" w:eastAsia="黑体" w:hAnsi="黑体" w:cs="黑体" w:hint="eastAsia"/>
          <w:b/>
          <w:bCs/>
          <w:color w:val="auto"/>
          <w:sz w:val="32"/>
          <w:szCs w:val="32"/>
        </w:rPr>
        <w:t>.</w:t>
      </w:r>
      <w:r>
        <w:rPr>
          <w:rFonts w:ascii="黑体" w:eastAsia="黑体" w:hAnsi="黑体" w:cs="黑体" w:hint="eastAsia"/>
          <w:b/>
          <w:bCs/>
          <w:color w:val="auto"/>
          <w:sz w:val="32"/>
          <w:szCs w:val="32"/>
          <w:lang w:val="en-US" w:eastAsia="zh-CN"/>
        </w:rPr>
        <w:t>6</w:t>
      </w:r>
      <w:r>
        <w:rPr>
          <w:rFonts w:ascii="黑体" w:eastAsia="黑体" w:hAnsi="黑体" w:cs="黑体" w:hint="eastAsia"/>
          <w:b/>
          <w:bCs/>
          <w:color w:val="auto"/>
          <w:sz w:val="32"/>
          <w:szCs w:val="32"/>
        </w:rPr>
        <w:t>.</w:t>
      </w:r>
      <w:r>
        <w:rPr>
          <w:rFonts w:ascii="黑体" w:eastAsia="黑体" w:hAnsi="黑体" w:cs="黑体" w:hint="eastAsia"/>
          <w:b/>
          <w:bCs/>
          <w:color w:val="auto"/>
          <w:sz w:val="32"/>
          <w:szCs w:val="32"/>
          <w:lang w:val="en-US" w:eastAsia="zh-CN"/>
        </w:rPr>
        <w:t>3</w:t>
      </w:r>
      <w:r>
        <w:rPr>
          <w:rFonts w:ascii="黑体" w:eastAsia="黑体" w:hAnsi="黑体" w:cs="黑体" w:hint="eastAsia"/>
          <w:b/>
          <w:bCs/>
          <w:color w:val="auto"/>
          <w:sz w:val="32"/>
          <w:szCs w:val="32"/>
        </w:rPr>
        <w:t>）</w:t>
      </w:r>
    </w:p>
    <w:p>
      <w:pPr>
        <w:keepNext w:val="0"/>
        <w:keepLines w:val="0"/>
        <w:pageBreakBefore w:val="0"/>
        <w:kinsoku/>
        <w:wordWrap/>
        <w:overflowPunct/>
        <w:topLinePunct w:val="0"/>
        <w:autoSpaceDE/>
        <w:autoSpaceDN/>
        <w:bidi w:val="0"/>
        <w:adjustRightInd/>
        <w:snapToGrid/>
        <w:spacing w:line="288" w:lineRule="auto"/>
        <w:jc w:val="center"/>
        <w:rPr>
          <w:rFonts w:ascii="黑体" w:eastAsia="仿宋" w:hAnsi="黑体" w:cs="黑体" w:hint="default"/>
          <w:b/>
          <w:bCs/>
          <w:color w:val="auto"/>
          <w:sz w:val="32"/>
          <w:szCs w:val="32"/>
          <w:lang w:val="en-US" w:eastAsia="zh-CN"/>
        </w:rPr>
      </w:pPr>
      <w:r>
        <w:rPr>
          <w:rFonts w:ascii="仿宋" w:eastAsia="仿宋" w:hAnsi="仿宋" w:cs="仿宋" w:hint="eastAsia"/>
          <w:b/>
          <w:bCs/>
          <w:color w:val="auto"/>
          <w:sz w:val="28"/>
          <w:szCs w:val="28"/>
        </w:rPr>
        <w:t>命题人：</w:t>
      </w:r>
      <w:r>
        <w:rPr>
          <w:rFonts w:ascii="仿宋" w:eastAsia="仿宋" w:hAnsi="仿宋" w:cs="仿宋" w:hint="eastAsia"/>
          <w:b/>
          <w:bCs/>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288" w:lineRule="auto"/>
        <w:jc w:val="center"/>
        <w:rPr>
          <w:rFonts w:ascii="宋体"/>
          <w:color w:val="auto"/>
          <w:szCs w:val="21"/>
        </w:rPr>
      </w:pPr>
      <w:r>
        <w:rPr>
          <w:rFonts w:ascii="宋体" w:hint="eastAsia"/>
          <w:color w:val="auto"/>
          <w:szCs w:val="21"/>
        </w:rPr>
        <w:t>（满分：</w:t>
      </w:r>
      <w:r>
        <w:rPr>
          <w:rFonts w:ascii="宋体"/>
          <w:color w:val="auto"/>
          <w:szCs w:val="21"/>
        </w:rPr>
        <w:t>100分，</w:t>
      </w:r>
      <w:r>
        <w:rPr>
          <w:rFonts w:ascii="宋体" w:hint="eastAsia"/>
          <w:color w:val="auto"/>
          <w:szCs w:val="21"/>
        </w:rPr>
        <w:t>测试</w:t>
      </w:r>
      <w:r>
        <w:rPr>
          <w:rFonts w:ascii="宋体"/>
          <w:color w:val="auto"/>
          <w:szCs w:val="21"/>
        </w:rPr>
        <w:t>时间</w:t>
      </w:r>
      <w:r>
        <w:rPr>
          <w:rFonts w:ascii="宋体" w:hint="eastAsia"/>
          <w:color w:val="auto"/>
          <w:szCs w:val="21"/>
        </w:rPr>
        <w:t>：</w:t>
      </w:r>
      <w:r>
        <w:rPr>
          <w:rFonts w:ascii="宋体" w:hint="eastAsia"/>
          <w:color w:val="auto"/>
          <w:szCs w:val="21"/>
          <w:lang w:val="en-US" w:eastAsia="zh-CN"/>
        </w:rPr>
        <w:t>75</w:t>
      </w:r>
      <w:r>
        <w:rPr>
          <w:rFonts w:ascii="宋体"/>
          <w:color w:val="auto"/>
          <w:szCs w:val="21"/>
        </w:rPr>
        <w:t>分钟</w:t>
      </w:r>
      <w:r>
        <w:rPr>
          <w:rFonts w:ascii="宋体" w:hint="eastAsia"/>
          <w:color w:val="auto"/>
          <w:szCs w:val="21"/>
        </w:rPr>
        <w:t>）</w:t>
      </w:r>
    </w:p>
    <w:p>
      <w:pPr>
        <w:keepNext w:val="0"/>
        <w:keepLines w:val="0"/>
        <w:pageBreakBefore w:val="0"/>
        <w:kinsoku/>
        <w:wordWrap/>
        <w:overflowPunct/>
        <w:topLinePunct w:val="0"/>
        <w:autoSpaceDE/>
        <w:autoSpaceDN/>
        <w:bidi w:val="0"/>
        <w:adjustRightInd/>
        <w:snapToGrid/>
        <w:spacing w:line="288" w:lineRule="auto"/>
        <w:jc w:val="center"/>
        <w:rPr>
          <w:rFonts w:ascii="宋体"/>
          <w:b/>
          <w:color w:val="auto"/>
          <w:szCs w:val="21"/>
        </w:rPr>
      </w:pPr>
      <w:r>
        <w:rPr>
          <w:rFonts w:ascii="宋体" w:hint="eastAsia"/>
          <w:b/>
          <w:color w:val="auto"/>
          <w:sz w:val="28"/>
          <w:szCs w:val="28"/>
        </w:rPr>
        <w:t>第Ⅰ卷（选择题，共</w:t>
      </w:r>
      <w:r>
        <w:rPr>
          <w:rFonts w:ascii="宋体" w:hint="eastAsia"/>
          <w:b/>
          <w:color w:val="auto"/>
          <w:sz w:val="28"/>
          <w:szCs w:val="28"/>
          <w:lang w:val="en-US" w:eastAsia="zh-CN"/>
        </w:rPr>
        <w:t>50</w:t>
      </w:r>
      <w:r>
        <w:rPr>
          <w:rFonts w:ascii="宋体" w:hint="eastAsia"/>
          <w:b/>
          <w:color w:val="auto"/>
          <w:sz w:val="28"/>
          <w:szCs w:val="28"/>
        </w:rPr>
        <w:t>分）</w:t>
      </w:r>
    </w:p>
    <w:p>
      <w:pPr>
        <w:keepNext w:val="0"/>
        <w:keepLines w:val="0"/>
        <w:pageBreakBefore w:val="0"/>
        <w:kinsoku/>
        <w:wordWrap/>
        <w:overflowPunct/>
        <w:topLinePunct w:val="0"/>
        <w:autoSpaceDE/>
        <w:autoSpaceDN/>
        <w:bidi w:val="0"/>
        <w:adjustRightInd/>
        <w:snapToGrid/>
        <w:spacing w:line="288" w:lineRule="auto"/>
        <w:rPr>
          <w:rFonts w:ascii="宋体"/>
          <w:b/>
          <w:color w:val="auto"/>
          <w:szCs w:val="21"/>
        </w:rPr>
      </w:pPr>
      <w:r>
        <w:rPr>
          <w:rFonts w:ascii="宋体" w:hint="eastAsia"/>
          <w:b/>
          <w:color w:val="auto"/>
          <w:szCs w:val="21"/>
        </w:rPr>
        <w:t>一、单项选择题（本部分包括</w:t>
      </w:r>
      <w:r>
        <w:rPr>
          <w:rFonts w:ascii="宋体" w:hint="eastAsia"/>
          <w:b/>
          <w:color w:val="auto"/>
          <w:szCs w:val="21"/>
          <w:lang w:val="en-US" w:eastAsia="zh-CN"/>
        </w:rPr>
        <w:t>15</w:t>
      </w:r>
      <w:r>
        <w:rPr>
          <w:rFonts w:ascii="宋体" w:hint="eastAsia"/>
          <w:b/>
          <w:color w:val="auto"/>
          <w:szCs w:val="21"/>
        </w:rPr>
        <w:t>个小题，每小题</w:t>
      </w:r>
      <w:r>
        <w:rPr>
          <w:rFonts w:ascii="宋体" w:hint="eastAsia"/>
          <w:b/>
          <w:color w:val="auto"/>
          <w:szCs w:val="21"/>
          <w:lang w:val="en-US" w:eastAsia="zh-CN"/>
        </w:rPr>
        <w:t>2</w:t>
      </w:r>
      <w:r>
        <w:rPr>
          <w:rFonts w:ascii="宋体" w:hint="eastAsia"/>
          <w:b/>
          <w:color w:val="auto"/>
          <w:szCs w:val="21"/>
        </w:rPr>
        <w:t>分，共</w:t>
      </w:r>
      <w:r>
        <w:rPr>
          <w:rFonts w:ascii="宋体" w:hint="eastAsia"/>
          <w:b/>
          <w:color w:val="auto"/>
          <w:szCs w:val="21"/>
          <w:lang w:val="en-US" w:eastAsia="zh-CN"/>
        </w:rPr>
        <w:t>30</w:t>
      </w:r>
      <w:r>
        <w:rPr>
          <w:rFonts w:ascii="宋体" w:hint="eastAsia"/>
          <w:b/>
          <w:color w:val="auto"/>
          <w:szCs w:val="21"/>
        </w:rPr>
        <w:t>分，在每小题给出的四个选项中，只有一项是符合题目要求的）</w:t>
      </w:r>
    </w:p>
    <w:p>
      <w:pPr>
        <w:keepNext w:val="0"/>
        <w:keepLines w:val="0"/>
        <w:pageBreakBefore w:val="0"/>
        <w:widowControl w:val="0"/>
        <w:tabs>
          <w:tab w:val="left" w:pos="8055"/>
        </w:tabs>
        <w:kinsoku/>
        <w:wordWrap/>
        <w:overflowPunct/>
        <w:topLinePunct w:val="0"/>
        <w:autoSpaceDE/>
        <w:autoSpaceDN/>
        <w:bidi w:val="0"/>
        <w:adjustRightInd/>
        <w:snapToGrid/>
        <w:spacing w:line="288" w:lineRule="auto"/>
        <w:rPr>
          <w:rFonts w:hint="eastAsia"/>
          <w:kern w:val="0"/>
          <w:szCs w:val="21"/>
        </w:rPr>
      </w:pPr>
      <w:bookmarkStart w:id="0" w:name="topic_df82f86c-1ee2-46ba-9cb9-7076a58b30"/>
      <w:r>
        <w:rPr>
          <w:rFonts w:ascii="Times New Roman" w:hAnsi="Times New Roman" w:cs="Times New Roman" w:hint="eastAsia"/>
          <w:kern w:val="0"/>
          <w:szCs w:val="21"/>
          <w:lang w:val="en-US" w:eastAsia="zh-CN"/>
        </w:rPr>
        <w:t>1.</w:t>
      </w:r>
      <w:r>
        <w:rPr>
          <w:kern w:val="0"/>
          <w:szCs w:val="21"/>
        </w:rPr>
        <w:t>下图表示</w:t>
      </w:r>
      <w:r>
        <w:rPr>
          <w:rFonts w:hint="eastAsia"/>
          <w:kern w:val="0"/>
          <w:szCs w:val="21"/>
        </w:rPr>
        <w:t>相关</w:t>
      </w:r>
      <w:r>
        <w:rPr>
          <w:kern w:val="0"/>
          <w:szCs w:val="21"/>
        </w:rPr>
        <w:t>概念间的</w:t>
      </w:r>
      <w:r>
        <w:rPr>
          <w:rFonts w:hint="eastAsia"/>
          <w:kern w:val="0"/>
          <w:szCs w:val="21"/>
        </w:rPr>
        <w:t>联系</w:t>
      </w:r>
      <w:r>
        <w:rPr>
          <w:kern w:val="0"/>
          <w:szCs w:val="21"/>
        </w:rPr>
        <w:t>，下列选项依次与a、b、c、d、e相对应的是</w:t>
      </w:r>
      <w:bookmarkEnd w:id="0"/>
      <w:r>
        <w:rPr>
          <w:kern w:val="0"/>
          <w:szCs w:val="21"/>
        </w:rPr>
        <w:t xml:space="preserve">（  </w:t>
      </w:r>
      <w:r>
        <w:rPr>
          <w:rFonts w:hint="eastAsia"/>
          <w:kern w:val="0"/>
          <w:szCs w:val="21"/>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kern w:val="0"/>
          <w:szCs w:val="21"/>
        </w:rPr>
      </w:pPr>
      <w:r>
        <w:rPr>
          <w:kern w:val="0"/>
          <w:szCs w:val="21"/>
        </w:rPr>
        <w:drawing>
          <wp:anchor distT="0" distB="0" distL="114300" distR="114300" simplePos="0" relativeHeight="251659264" behindDoc="1" locked="0" layoutInCell="1" allowOverlap="1">
            <wp:simplePos x="0" y="0"/>
            <wp:positionH relativeFrom="column">
              <wp:posOffset>387350</wp:posOffset>
            </wp:positionH>
            <wp:positionV relativeFrom="paragraph">
              <wp:posOffset>71755</wp:posOffset>
            </wp:positionV>
            <wp:extent cx="2701290" cy="768350"/>
            <wp:effectExtent l="0" t="0" r="3810" b="12700"/>
            <wp:wrapTight wrapText="bothSides">
              <wp:wrapPolygon>
                <wp:start x="0" y="0"/>
                <wp:lineTo x="0" y="20886"/>
                <wp:lineTo x="21478" y="20886"/>
                <wp:lineTo x="21478" y="0"/>
                <wp:lineTo x="0" y="0"/>
              </wp:wrapPolygon>
            </wp:wrapTight>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58899" name="图片 2"/>
                    <pic:cNvPicPr>
                      <a:picLocks noChangeAspect="1"/>
                    </pic:cNvPicPr>
                  </pic:nvPicPr>
                  <pic:blipFill>
                    <a:blip xmlns:r="http://schemas.openxmlformats.org/officeDocument/2006/relationships" r:embed="rId6"/>
                    <a:stretch>
                      <a:fillRect/>
                    </a:stretch>
                  </pic:blipFill>
                  <pic:spPr>
                    <a:xfrm>
                      <a:off x="0" y="0"/>
                      <a:ext cx="2701290" cy="7683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kern w:val="0"/>
          <w:szCs w:val="21"/>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kern w:val="0"/>
          <w:szCs w:val="21"/>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hint="eastAsia"/>
          <w:kern w:val="0"/>
          <w:szCs w:val="21"/>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kern w:val="0"/>
          <w:szCs w:val="21"/>
        </w:rPr>
      </w:pPr>
      <w:r>
        <w:rPr>
          <w:rFonts w:ascii="Times New Roman" w:hAnsi="Times New Roman" w:cs="Times New Roman" w:hint="default"/>
          <w:kern w:val="0"/>
          <w:szCs w:val="21"/>
        </w:rPr>
        <w:t>A.</w:t>
      </w:r>
      <w:r>
        <w:rPr>
          <w:kern w:val="0"/>
          <w:szCs w:val="21"/>
        </w:rPr>
        <w:t>糖类、二糖、多糖、麦芽糖、蔗糖</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kern w:val="0"/>
          <w:szCs w:val="21"/>
        </w:rPr>
      </w:pPr>
      <w:r>
        <w:rPr>
          <w:rFonts w:ascii="Times New Roman" w:eastAsia="隶书" w:hAnsi="Times New Roman" w:cs="Times New Roman" w:hint="default"/>
          <w:snapToGrid w:val="0"/>
          <w:kern w:val="0"/>
          <w:szCs w:val="21"/>
        </w:rPr>
        <w:t>B</w:t>
      </w:r>
      <w:r>
        <w:rPr>
          <w:rFonts w:ascii="Times New Roman" w:eastAsia="隶书" w:hAnsi="Times New Roman" w:cs="Times New Roman" w:hint="default"/>
          <w:kern w:val="0"/>
          <w:szCs w:val="21"/>
        </w:rPr>
        <w:t>.</w:t>
      </w:r>
      <w:r>
        <w:rPr>
          <w:kern w:val="0"/>
          <w:szCs w:val="21"/>
        </w:rPr>
        <w:t>脂质、脂肪、固醇、胆固醇、性激素</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color w:val="auto"/>
          <w:kern w:val="0"/>
          <w:szCs w:val="21"/>
        </w:rPr>
      </w:pPr>
      <w:r>
        <w:rPr>
          <w:rFonts w:ascii="Times New Roman" w:hAnsi="Times New Roman" w:cs="Times New Roman" w:hint="default"/>
          <w:color w:val="auto"/>
          <w:kern w:val="0"/>
          <w:szCs w:val="21"/>
        </w:rPr>
        <w:t>C.</w:t>
      </w:r>
      <w:r>
        <w:rPr>
          <w:color w:val="auto"/>
          <w:kern w:val="0"/>
          <w:szCs w:val="21"/>
        </w:rPr>
        <w:t>细胞生物、真核生物、原核生物、真菌、酵母菌</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kern w:val="0"/>
          <w:szCs w:val="21"/>
        </w:rPr>
      </w:pPr>
      <w:r>
        <w:rPr>
          <w:rFonts w:ascii="Times New Roman" w:hAnsi="Times New Roman" w:cs="Times New Roman" w:hint="default"/>
          <w:kern w:val="0"/>
          <w:szCs w:val="21"/>
        </w:rPr>
        <w:t>D.</w:t>
      </w:r>
      <w:r>
        <w:rPr>
          <w:kern w:val="0"/>
          <w:szCs w:val="21"/>
        </w:rPr>
        <w:t>真核细胞的细胞质、细胞质基质、细胞器、具膜细胞器、线粒体</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hint="eastAsia"/>
          <w:kern w:val="0"/>
          <w:szCs w:val="21"/>
        </w:rPr>
      </w:pPr>
      <w:bookmarkStart w:id="1" w:name="topic 866c8f41-ea24-47cf-9792-cca1d79bdc"/>
      <w:r>
        <w:rPr>
          <w:rFonts w:ascii="Times New Roman" w:hAnsi="Times New Roman" w:cs="Times New Roman" w:hint="eastAsia"/>
          <w:kern w:val="0"/>
          <w:szCs w:val="21"/>
          <w:lang w:val="en-US" w:eastAsia="zh-CN"/>
        </w:rPr>
        <w:t>2.</w:t>
      </w:r>
      <w:r>
        <w:rPr>
          <w:kern w:val="0"/>
          <w:szCs w:val="21"/>
        </w:rPr>
        <w:t>由</w:t>
      </w:r>
      <w:r>
        <w:rPr>
          <w:rFonts w:ascii="Times New Roman" w:hAnsi="Times New Roman" w:cs="Times New Roman" w:hint="default"/>
          <w:kern w:val="0"/>
          <w:szCs w:val="21"/>
        </w:rPr>
        <w:t>1</w:t>
      </w:r>
      <w:r>
        <w:rPr>
          <w:kern w:val="0"/>
          <w:szCs w:val="21"/>
        </w:rPr>
        <w:t>分子磷酸、</w:t>
      </w:r>
      <w:r>
        <w:rPr>
          <w:rFonts w:ascii="Times New Roman" w:hAnsi="Times New Roman" w:cs="Times New Roman" w:hint="default"/>
          <w:kern w:val="0"/>
          <w:szCs w:val="21"/>
        </w:rPr>
        <w:t>1</w:t>
      </w:r>
      <w:r>
        <w:rPr>
          <w:kern w:val="0"/>
          <w:szCs w:val="21"/>
        </w:rPr>
        <w:t>分子碱基</w:t>
      </w:r>
      <w:r>
        <w:rPr>
          <w:rFonts w:ascii="Times New Roman" w:hAnsi="Times New Roman" w:cs="Times New Roman" w:hint="default"/>
          <w:kern w:val="0"/>
          <w:szCs w:val="21"/>
        </w:rPr>
        <w:t>m</w:t>
      </w:r>
      <w:r>
        <w:rPr>
          <w:kern w:val="0"/>
          <w:szCs w:val="21"/>
        </w:rPr>
        <w:t>和</w:t>
      </w:r>
      <w:r>
        <w:rPr>
          <w:rFonts w:ascii="Times New Roman" w:eastAsia="隶书" w:hAnsi="Times New Roman" w:cs="Times New Roman" w:hint="default"/>
          <w:kern w:val="0"/>
          <w:szCs w:val="21"/>
        </w:rPr>
        <w:t>1</w:t>
      </w:r>
      <w:r>
        <w:rPr>
          <w:kern w:val="0"/>
          <w:szCs w:val="21"/>
        </w:rPr>
        <w:t>分子化合物</w:t>
      </w:r>
      <w:r>
        <w:rPr>
          <w:rFonts w:asciiTheme="minorAscii" w:hAnsiTheme="minorAscii" w:cs="Times New Roman" w:hint="default"/>
          <w:kern w:val="0"/>
          <w:szCs w:val="21"/>
        </w:rPr>
        <w:t>a</w:t>
      </w:r>
      <w:r>
        <w:rPr>
          <w:kern w:val="0"/>
          <w:szCs w:val="21"/>
        </w:rPr>
        <w:t>构成的化合物</w:t>
      </w:r>
      <w:r>
        <w:rPr>
          <w:rFonts w:asciiTheme="minorAscii" w:hAnsiTheme="minorAscii" w:cs="Times New Roman" w:hint="default"/>
          <w:kern w:val="0"/>
          <w:szCs w:val="21"/>
        </w:rPr>
        <w:t>b</w:t>
      </w:r>
      <w:r>
        <w:rPr>
          <w:kern w:val="0"/>
          <w:szCs w:val="21"/>
        </w:rPr>
        <w:t>如下图所示。下列相关叙述正确的有（　</w:t>
      </w:r>
      <w:r>
        <w:rPr>
          <w:rFonts w:hint="eastAsia"/>
          <w:kern w:val="0"/>
          <w:szCs w:val="21"/>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kern w:val="0"/>
          <w:szCs w:val="21"/>
        </w:rPr>
      </w:pPr>
      <w:r>
        <w:rPr>
          <w:szCs w:val="21"/>
        </w:rPr>
        <w:drawing>
          <wp:anchor distT="0" distB="0" distL="114300" distR="114300" simplePos="0" relativeHeight="251660288" behindDoc="1" locked="0" layoutInCell="1" allowOverlap="1">
            <wp:simplePos x="0" y="0"/>
            <wp:positionH relativeFrom="column">
              <wp:posOffset>3600450</wp:posOffset>
            </wp:positionH>
            <wp:positionV relativeFrom="paragraph">
              <wp:posOffset>37465</wp:posOffset>
            </wp:positionV>
            <wp:extent cx="1301115" cy="717550"/>
            <wp:effectExtent l="0" t="0" r="13335" b="6350"/>
            <wp:wrapTight wrapText="bothSides">
              <wp:wrapPolygon>
                <wp:start x="0" y="0"/>
                <wp:lineTo x="0" y="21218"/>
                <wp:lineTo x="21189" y="21218"/>
                <wp:lineTo x="21189" y="0"/>
                <wp:lineTo x="0" y="0"/>
              </wp:wrapPolygon>
            </wp:wrapTight>
            <wp:docPr id="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927563" name="图片 18"/>
                    <pic:cNvPicPr>
                      <a:picLocks noChangeAspect="1"/>
                    </pic:cNvPicPr>
                  </pic:nvPicPr>
                  <pic:blipFill>
                    <a:blip xmlns:r="http://schemas.openxmlformats.org/officeDocument/2006/relationships" r:embed="rId7"/>
                    <a:stretch>
                      <a:fillRect/>
                    </a:stretch>
                  </pic:blipFill>
                  <pic:spPr>
                    <a:xfrm>
                      <a:off x="0" y="0"/>
                      <a:ext cx="1301115" cy="717550"/>
                    </a:xfrm>
                    <a:prstGeom prst="rect">
                      <a:avLst/>
                    </a:prstGeom>
                    <a:noFill/>
                    <a:ln>
                      <a:noFill/>
                    </a:ln>
                  </pic:spPr>
                </pic:pic>
              </a:graphicData>
            </a:graphic>
          </wp:anchor>
        </w:drawing>
      </w:r>
      <w:r>
        <w:rPr>
          <w:kern w:val="0"/>
          <w:szCs w:val="21"/>
        </w:rPr>
        <w:t>①若m为胸腺嘧啶，则b肯定为胸腺嘧啶脱氧核苷酸；</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kern w:val="0"/>
          <w:szCs w:val="21"/>
        </w:rPr>
      </w:pPr>
      <w:r>
        <w:rPr>
          <w:kern w:val="0"/>
          <w:szCs w:val="21"/>
        </w:rPr>
        <w:t>②若a为核糖，则b为DNA的基本组成单位；</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kern w:val="0"/>
          <w:szCs w:val="21"/>
        </w:rPr>
      </w:pPr>
      <w:r>
        <w:rPr>
          <w:kern w:val="0"/>
          <w:szCs w:val="21"/>
        </w:rPr>
        <w:t>③若m为胞嘧啶，则 b 肯定为胞嘧啶脱氧核苷酸；</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kern w:val="0"/>
          <w:szCs w:val="21"/>
        </w:rPr>
      </w:pPr>
      <w:r>
        <w:rPr>
          <w:kern w:val="0"/>
          <w:szCs w:val="21"/>
        </w:rPr>
        <w:t>④在SARS病毒、乳酸杆菌体内 b 均为 4 种；</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kern w:val="0"/>
          <w:szCs w:val="21"/>
        </w:rPr>
      </w:pPr>
      <w:r>
        <w:rPr>
          <w:kern w:val="0"/>
          <w:szCs w:val="21"/>
        </w:rPr>
        <w:t>⑤若 a 为脱氧核糖，则由 b 构成的核酸完全水解，得到的化合物最多有 8 种；</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szCs w:val="21"/>
        </w:rPr>
      </w:pPr>
      <w:r>
        <w:rPr>
          <w:kern w:val="0"/>
          <w:szCs w:val="21"/>
        </w:rPr>
        <w:t>⑥幽门螺旋杆菌体内含的化合物m共4种；</w:t>
      </w:r>
      <w:bookmarkEnd w:id="1"/>
    </w:p>
    <w:p>
      <w:pPr>
        <w:keepNext w:val="0"/>
        <w:keepLines w:val="0"/>
        <w:pageBreakBefore w:val="0"/>
        <w:widowControl w:val="0"/>
        <w:kinsoku/>
        <w:wordWrap/>
        <w:overflowPunct/>
        <w:topLinePunct w:val="0"/>
        <w:autoSpaceDE/>
        <w:autoSpaceDN/>
        <w:bidi w:val="0"/>
        <w:adjustRightInd/>
        <w:snapToGrid/>
        <w:spacing w:line="288" w:lineRule="auto"/>
        <w:rPr>
          <w:kern w:val="0"/>
          <w:szCs w:val="21"/>
        </w:rPr>
      </w:pPr>
      <w:r>
        <w:rPr>
          <w:rFonts w:ascii="Times New Roman" w:hAnsi="Times New Roman" w:cs="Times New Roman" w:hint="default"/>
          <w:snapToGrid w:val="0"/>
          <w:color w:val="auto"/>
          <w:kern w:val="0"/>
          <w:szCs w:val="21"/>
        </w:rPr>
        <w:t>A</w:t>
      </w:r>
      <w:r>
        <w:rPr>
          <w:rFonts w:ascii="Times New Roman" w:hAnsi="Times New Roman" w:cs="Times New Roman" w:hint="default"/>
          <w:color w:val="auto"/>
          <w:kern w:val="0"/>
          <w:szCs w:val="21"/>
        </w:rPr>
        <w:t>.1</w:t>
      </w:r>
      <w:r>
        <w:rPr>
          <w:color w:val="auto"/>
          <w:kern w:val="0"/>
          <w:szCs w:val="21"/>
        </w:rPr>
        <w:t>个</w:t>
      </w:r>
      <w:r>
        <w:rPr>
          <w:rFonts w:hint="eastAsia"/>
          <w:kern w:val="0"/>
          <w:szCs w:val="21"/>
        </w:rPr>
        <w:t xml:space="preserve"> </w:t>
      </w:r>
      <w:r>
        <w:rPr>
          <w:rFonts w:ascii="Times New Roman" w:hAnsi="Times New Roman" w:cs="Times New Roman" w:hint="default"/>
          <w:kern w:val="0"/>
          <w:szCs w:val="21"/>
        </w:rPr>
        <w:t xml:space="preserve"> </w:t>
      </w:r>
      <w:r>
        <w:rPr>
          <w:rFonts w:ascii="Times New Roman" w:hAnsi="Times New Roman" w:cs="Times New Roman" w:hint="default"/>
          <w:snapToGrid w:val="0"/>
          <w:kern w:val="0"/>
          <w:szCs w:val="21"/>
        </w:rPr>
        <w:t>B</w:t>
      </w:r>
      <w:r>
        <w:rPr>
          <w:rFonts w:ascii="Times New Roman" w:hAnsi="Times New Roman" w:cs="Times New Roman" w:hint="default"/>
          <w:kern w:val="0"/>
          <w:szCs w:val="21"/>
        </w:rPr>
        <w:t>.2</w:t>
      </w:r>
      <w:r>
        <w:rPr>
          <w:kern w:val="0"/>
          <w:szCs w:val="21"/>
        </w:rPr>
        <w:t>个</w:t>
      </w:r>
      <w:r>
        <w:rPr>
          <w:rFonts w:hint="eastAsia"/>
          <w:kern w:val="0"/>
          <w:szCs w:val="21"/>
        </w:rPr>
        <w:t xml:space="preserve"> </w:t>
      </w:r>
      <w:r>
        <w:rPr>
          <w:rFonts w:ascii="Times New Roman" w:hAnsi="Times New Roman" w:cs="Times New Roman" w:hint="default"/>
          <w:kern w:val="0"/>
          <w:szCs w:val="21"/>
        </w:rPr>
        <w:t xml:space="preserve"> C.3</w:t>
      </w:r>
      <w:r>
        <w:rPr>
          <w:kern w:val="0"/>
          <w:szCs w:val="21"/>
        </w:rPr>
        <w:t>个</w:t>
      </w:r>
      <w:r>
        <w:rPr>
          <w:rFonts w:hint="eastAsia"/>
          <w:kern w:val="0"/>
          <w:szCs w:val="21"/>
        </w:rPr>
        <w:t xml:space="preserve">  </w:t>
      </w:r>
      <w:r>
        <w:rPr>
          <w:rFonts w:ascii="Times New Roman" w:hAnsi="Times New Roman" w:cs="Times New Roman" w:hint="default"/>
          <w:kern w:val="0"/>
          <w:szCs w:val="21"/>
        </w:rPr>
        <w:t>D.4</w:t>
      </w:r>
      <w:r>
        <w:rPr>
          <w:kern w:val="0"/>
          <w:szCs w:val="21"/>
        </w:rPr>
        <w:t>个</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eastAsia"/>
          <w:b w:val="0"/>
          <w:bCs/>
        </w:rPr>
      </w:pPr>
      <w:r>
        <w:rPr>
          <w:rFonts w:ascii="Times New Roman" w:hAnsi="Times New Roman" w:cs="Times New Roman" w:hint="default"/>
          <w:b w:val="0"/>
          <w:bCs/>
          <w:lang w:val="en-US" w:eastAsia="zh-CN"/>
        </w:rPr>
        <w:t>3.</w:t>
      </w:r>
      <w:r>
        <w:rPr>
          <w:rFonts w:ascii="宋体" w:eastAsia="宋体" w:hAnsi="宋体" w:cs="宋体" w:hint="eastAsia"/>
          <w:b w:val="0"/>
          <w:bCs/>
        </w:rPr>
        <w:t>鬼笔环肽是从一种剧毒蘑菇中分离出来的</w:t>
      </w:r>
      <w:r>
        <w:rPr>
          <w:rFonts w:ascii="宋体" w:hAnsi="宋体" w:cs="宋体" w:hint="eastAsia"/>
          <w:b w:val="0"/>
          <w:bCs/>
          <w:lang w:val="en-US" w:eastAsia="zh-CN"/>
        </w:rPr>
        <w:t>环状</w:t>
      </w:r>
      <w:r>
        <w:rPr>
          <w:rFonts w:ascii="宋体" w:eastAsia="宋体" w:hAnsi="宋体" w:cs="宋体" w:hint="eastAsia"/>
          <w:b w:val="0"/>
          <w:bCs/>
        </w:rPr>
        <w:t>多肽物质，分子式为</w:t>
      </w:r>
      <w:r>
        <w:rPr>
          <w:rFonts w:ascii="Times New Roman" w:eastAsia="宋体" w:hAnsi="Times New Roman" w:cs="Times New Roman" w:hint="default"/>
          <w:b w:val="0"/>
          <w:bCs/>
        </w:rPr>
        <w:t>C</w:t>
      </w:r>
      <w:r>
        <w:rPr>
          <w:rFonts w:ascii="Times New Roman" w:eastAsia="宋体" w:hAnsi="Times New Roman" w:cs="Times New Roman" w:hint="default"/>
          <w:b w:val="0"/>
          <w:bCs/>
          <w:vertAlign w:val="subscript"/>
        </w:rPr>
        <w:t>35</w:t>
      </w:r>
      <w:r>
        <w:rPr>
          <w:rFonts w:ascii="Times New Roman" w:eastAsia="宋体" w:hAnsi="Times New Roman" w:cs="Times New Roman" w:hint="default"/>
          <w:b w:val="0"/>
          <w:bCs/>
        </w:rPr>
        <w:t>H</w:t>
      </w:r>
      <w:r>
        <w:rPr>
          <w:rFonts w:ascii="Times New Roman" w:eastAsia="宋体" w:hAnsi="Times New Roman" w:cs="Times New Roman" w:hint="default"/>
          <w:b w:val="0"/>
          <w:bCs/>
          <w:vertAlign w:val="subscript"/>
        </w:rPr>
        <w:t>48</w:t>
      </w:r>
      <w:r>
        <w:rPr>
          <w:rFonts w:ascii="Times New Roman" w:eastAsia="宋体" w:hAnsi="Times New Roman" w:cs="Times New Roman" w:hint="default"/>
          <w:b w:val="0"/>
          <w:bCs/>
        </w:rPr>
        <w:t>N</w:t>
      </w:r>
      <w:r>
        <w:rPr>
          <w:rFonts w:ascii="Times New Roman" w:eastAsia="宋体" w:hAnsi="Times New Roman" w:cs="Times New Roman" w:hint="default"/>
          <w:b w:val="0"/>
          <w:bCs/>
          <w:vertAlign w:val="subscript"/>
        </w:rPr>
        <w:t>8</w:t>
      </w:r>
      <w:r>
        <w:rPr>
          <w:rFonts w:ascii="Times New Roman" w:eastAsia="宋体" w:hAnsi="Times New Roman" w:cs="Times New Roman" w:hint="default"/>
          <w:b w:val="0"/>
          <w:bCs/>
        </w:rPr>
        <w:t>O</w:t>
      </w:r>
      <w:r>
        <w:rPr>
          <w:rFonts w:ascii="Times New Roman" w:eastAsia="宋体" w:hAnsi="Times New Roman" w:cs="Times New Roman" w:hint="default"/>
          <w:b w:val="0"/>
          <w:bCs/>
          <w:vertAlign w:val="subscript"/>
        </w:rPr>
        <w:t>11</w:t>
      </w:r>
      <w:r>
        <w:rPr>
          <w:rFonts w:ascii="Times New Roman" w:eastAsia="宋体" w:hAnsi="Times New Roman" w:cs="Times New Roman" w:hint="default"/>
          <w:b w:val="0"/>
          <w:bCs/>
        </w:rPr>
        <w:t>S</w:t>
      </w:r>
      <w:r>
        <w:rPr>
          <w:rFonts w:ascii="宋体" w:eastAsia="宋体" w:hAnsi="宋体" w:cs="宋体" w:hint="eastAsia"/>
          <w:b w:val="0"/>
          <w:bCs/>
        </w:rPr>
        <w:t>，其彻底水解产生的氨基酸中有</w:t>
      </w:r>
      <w:r>
        <w:rPr>
          <w:rFonts w:ascii="Times New Roman" w:eastAsia="宋体" w:hAnsi="Times New Roman" w:cs="Times New Roman" w:hint="default"/>
          <w:b w:val="0"/>
          <w:bCs/>
        </w:rPr>
        <w:t>4</w:t>
      </w:r>
      <w:r>
        <w:rPr>
          <w:rFonts w:ascii="宋体" w:eastAsia="宋体" w:hAnsi="宋体" w:cs="宋体" w:hint="eastAsia"/>
          <w:b w:val="0"/>
          <w:bCs/>
        </w:rPr>
        <w:t>个氧原子位于</w:t>
      </w:r>
      <w:r>
        <w:rPr>
          <w:rFonts w:ascii="Times New Roman" w:eastAsia="宋体" w:hAnsi="Times New Roman" w:cs="Times New Roman" w:hint="default"/>
          <w:b w:val="0"/>
          <w:bCs/>
        </w:rPr>
        <w:t>R</w:t>
      </w:r>
      <w:r>
        <w:rPr>
          <w:rFonts w:ascii="宋体" w:eastAsia="宋体" w:hAnsi="宋体" w:cs="宋体" w:hint="eastAsia"/>
          <w:b w:val="0"/>
          <w:bCs/>
        </w:rPr>
        <w:t>基上，下列说法正确的是（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eastAsia"/>
          <w:b w:val="0"/>
          <w:bCs/>
        </w:rPr>
      </w:pPr>
      <w:r>
        <w:rPr>
          <w:rFonts w:ascii="Times New Roman" w:eastAsia="宋体" w:hAnsi="Times New Roman" w:cs="Times New Roman" w:hint="default"/>
          <w:b w:val="0"/>
          <w:bCs/>
        </w:rPr>
        <w:t>A</w:t>
      </w:r>
      <w:r>
        <w:rPr>
          <w:rFonts w:ascii="Times New Roman" w:hAnsi="Times New Roman" w:cs="Times New Roman" w:hint="eastAsia"/>
          <w:b w:val="0"/>
          <w:bCs/>
          <w:lang w:val="en-US" w:eastAsia="zh-CN"/>
        </w:rPr>
        <w:t>.</w:t>
      </w:r>
      <w:r>
        <w:rPr>
          <w:rFonts w:ascii="宋体" w:eastAsia="宋体" w:hAnsi="宋体" w:cs="宋体" w:hint="eastAsia"/>
          <w:b w:val="0"/>
          <w:bCs/>
        </w:rPr>
        <w:t>鬼笔环肽中存在二硫键，能维持其结构的相对稳定</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eastAsia"/>
          <w:b w:val="0"/>
          <w:bCs/>
        </w:rPr>
      </w:pPr>
      <w:r>
        <w:rPr>
          <w:rFonts w:ascii="Times New Roman" w:eastAsia="宋体" w:hAnsi="Times New Roman" w:cs="Times New Roman" w:hint="default"/>
          <w:b w:val="0"/>
          <w:bCs/>
        </w:rPr>
        <w:t>B</w:t>
      </w:r>
      <w:r>
        <w:rPr>
          <w:rFonts w:ascii="Times New Roman" w:hAnsi="Times New Roman" w:cs="Times New Roman" w:hint="eastAsia"/>
          <w:b w:val="0"/>
          <w:bCs/>
          <w:lang w:val="en-US" w:eastAsia="zh-CN"/>
        </w:rPr>
        <w:t>.</w:t>
      </w:r>
      <w:r>
        <w:rPr>
          <w:rFonts w:ascii="宋体" w:eastAsia="宋体" w:hAnsi="宋体" w:cs="宋体" w:hint="eastAsia"/>
          <w:b w:val="0"/>
          <w:bCs/>
        </w:rPr>
        <w:t>鬼笔环肽彻底水解产生的氨基酸的</w:t>
      </w:r>
      <w:r>
        <w:rPr>
          <w:rFonts w:ascii="Times New Roman" w:eastAsia="宋体" w:hAnsi="Times New Roman" w:cs="Times New Roman" w:hint="default"/>
          <w:b w:val="0"/>
          <w:bCs/>
        </w:rPr>
        <w:t>R</w:t>
      </w:r>
      <w:r>
        <w:rPr>
          <w:rFonts w:ascii="宋体" w:eastAsia="宋体" w:hAnsi="宋体" w:cs="宋体" w:hint="eastAsia"/>
          <w:b w:val="0"/>
          <w:bCs/>
        </w:rPr>
        <w:t>基中有</w:t>
      </w:r>
      <w:r>
        <w:rPr>
          <w:rFonts w:ascii="Times New Roman" w:eastAsia="宋体" w:hAnsi="Times New Roman" w:cs="Times New Roman" w:hint="default"/>
          <w:b w:val="0"/>
          <w:bCs/>
        </w:rPr>
        <w:t>2</w:t>
      </w:r>
      <w:r>
        <w:rPr>
          <w:rFonts w:ascii="宋体" w:eastAsia="宋体" w:hAnsi="宋体" w:cs="宋体" w:hint="eastAsia"/>
          <w:b w:val="0"/>
          <w:bCs/>
        </w:rPr>
        <w:t>个氮原子</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eastAsia"/>
          <w:b w:val="0"/>
          <w:bCs/>
          <w:color w:val="auto"/>
        </w:rPr>
      </w:pPr>
      <w:r>
        <w:rPr>
          <w:rFonts w:ascii="Times New Roman" w:eastAsia="宋体" w:hAnsi="Times New Roman" w:cs="Times New Roman" w:hint="default"/>
          <w:b w:val="0"/>
          <w:bCs/>
          <w:color w:val="auto"/>
        </w:rPr>
        <w:t>C</w:t>
      </w:r>
      <w:r>
        <w:rPr>
          <w:rFonts w:ascii="Times New Roman" w:hAnsi="Times New Roman" w:cs="Times New Roman" w:hint="eastAsia"/>
          <w:b w:val="0"/>
          <w:bCs/>
          <w:color w:val="auto"/>
          <w:lang w:val="en-US" w:eastAsia="zh-CN"/>
        </w:rPr>
        <w:t>.</w:t>
      </w:r>
      <w:r>
        <w:rPr>
          <w:rFonts w:ascii="宋体" w:eastAsia="宋体" w:hAnsi="宋体" w:cs="宋体" w:hint="eastAsia"/>
          <w:b w:val="0"/>
          <w:bCs/>
          <w:color w:val="auto"/>
        </w:rPr>
        <w:t>经加热处理的鬼笔环肽仍能与双缩脲试剂反应显紫色</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eastAsia"/>
          <w:b w:val="0"/>
          <w:bCs/>
        </w:rPr>
      </w:pPr>
      <w:r>
        <w:rPr>
          <w:rFonts w:ascii="Times New Roman" w:eastAsia="宋体" w:hAnsi="Times New Roman" w:cs="Times New Roman" w:hint="default"/>
          <w:b w:val="0"/>
          <w:bCs/>
        </w:rPr>
        <w:t>D</w:t>
      </w:r>
      <w:r>
        <w:rPr>
          <w:rFonts w:ascii="Times New Roman" w:hAnsi="Times New Roman" w:cs="Times New Roman" w:hint="eastAsia"/>
          <w:b w:val="0"/>
          <w:bCs/>
          <w:lang w:val="en-US" w:eastAsia="zh-CN"/>
        </w:rPr>
        <w:t>.</w:t>
      </w:r>
      <w:r>
        <w:rPr>
          <w:rFonts w:ascii="宋体" w:eastAsia="宋体" w:hAnsi="宋体" w:cs="宋体" w:hint="eastAsia"/>
          <w:b w:val="0"/>
          <w:bCs/>
        </w:rPr>
        <w:t>鬼笔环肽通过自由扩散的运输方式进入人体细胞</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eastAsia"/>
          <w:b w:val="0"/>
          <w:bCs/>
        </w:rPr>
      </w:pPr>
      <w:r>
        <w:rPr>
          <w:rFonts w:ascii="Times New Roman" w:hAnsi="Times New Roman" w:cs="Times New Roman" w:hint="default"/>
          <w:b w:val="0"/>
          <w:bCs/>
          <w:lang w:val="en-US" w:eastAsia="zh-CN"/>
        </w:rPr>
        <w:t>4</w:t>
      </w:r>
      <w:r>
        <w:rPr>
          <w:rFonts w:ascii="Times New Roman" w:hAnsi="Times New Roman" w:cs="Times New Roman" w:hint="eastAsia"/>
          <w:b w:val="0"/>
          <w:bCs/>
          <w:lang w:val="en-US" w:eastAsia="zh-CN"/>
        </w:rPr>
        <w:t>.</w:t>
      </w:r>
      <w:r>
        <w:rPr>
          <w:rFonts w:ascii="宋体" w:eastAsia="宋体" w:hAnsi="宋体" w:cs="宋体" w:hint="eastAsia"/>
          <w:b w:val="0"/>
          <w:bCs/>
        </w:rPr>
        <w:t>小窝是细胞膜上呈多种形态的凹陷结构，参与胞吞、胞内运输以及多种途径的信号转导等。小窝蛋白是小窝的标志蛋白，其肽链中段位于磷脂双分子层中，首尾两段均位于细胞质基质中。下列相关叙述正确的是（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eastAsia"/>
          <w:b w:val="0"/>
          <w:bCs/>
        </w:rPr>
      </w:pPr>
      <w:r>
        <w:rPr>
          <w:rFonts w:ascii="Times New Roman" w:eastAsia="宋体" w:hAnsi="Times New Roman" w:cs="Times New Roman" w:hint="default"/>
          <w:b w:val="0"/>
          <w:bCs/>
        </w:rPr>
        <w:t>A</w:t>
      </w:r>
      <w:r>
        <w:rPr>
          <w:rFonts w:ascii="Times New Roman" w:hAnsi="Times New Roman" w:cs="Times New Roman" w:hint="eastAsia"/>
          <w:b w:val="0"/>
          <w:bCs/>
          <w:lang w:val="en-US" w:eastAsia="zh-CN"/>
        </w:rPr>
        <w:t>.</w:t>
      </w:r>
      <w:r>
        <w:rPr>
          <w:rFonts w:ascii="宋体" w:eastAsia="宋体" w:hAnsi="宋体" w:cs="宋体" w:hint="eastAsia"/>
          <w:b w:val="0"/>
          <w:bCs/>
        </w:rPr>
        <w:t>小窝蛋白的中段和磷脂分子的尾部都具有亲水性</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eastAsia"/>
          <w:b w:val="0"/>
          <w:bCs/>
        </w:rPr>
      </w:pPr>
      <w:r>
        <w:rPr>
          <w:rFonts w:ascii="Times New Roman" w:eastAsia="宋体" w:hAnsi="Times New Roman" w:cs="Times New Roman" w:hint="default"/>
          <w:b w:val="0"/>
          <w:bCs/>
        </w:rPr>
        <w:t>B</w:t>
      </w:r>
      <w:r>
        <w:rPr>
          <w:rFonts w:ascii="Times New Roman" w:hAnsi="Times New Roman" w:cs="Times New Roman" w:hint="eastAsia"/>
          <w:b w:val="0"/>
          <w:bCs/>
          <w:lang w:val="en-US" w:eastAsia="zh-CN"/>
        </w:rPr>
        <w:t>.</w:t>
      </w:r>
      <w:r>
        <w:rPr>
          <w:rFonts w:ascii="宋体" w:eastAsia="宋体" w:hAnsi="宋体" w:cs="宋体" w:hint="eastAsia"/>
          <w:b w:val="0"/>
          <w:bCs/>
        </w:rPr>
        <w:t>借助高倍光学显微镜可以清晰地观察到细胞膜上的小窝</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eastAsia"/>
          <w:b w:val="0"/>
          <w:bCs/>
        </w:rPr>
      </w:pPr>
      <w:r>
        <w:rPr>
          <w:rFonts w:ascii="Times New Roman" w:eastAsia="宋体" w:hAnsi="Times New Roman" w:cs="Times New Roman" w:hint="default"/>
          <w:b w:val="0"/>
          <w:bCs/>
        </w:rPr>
        <w:t>C</w:t>
      </w:r>
      <w:r>
        <w:rPr>
          <w:rFonts w:ascii="Times New Roman" w:hAnsi="Times New Roman" w:cs="Times New Roman" w:hint="eastAsia"/>
          <w:b w:val="0"/>
          <w:bCs/>
          <w:lang w:val="en-US" w:eastAsia="zh-CN"/>
        </w:rPr>
        <w:t>.</w:t>
      </w:r>
      <w:r>
        <w:rPr>
          <w:rFonts w:ascii="宋体" w:eastAsia="宋体" w:hAnsi="宋体" w:cs="宋体" w:hint="eastAsia"/>
          <w:b w:val="0"/>
          <w:bCs/>
        </w:rPr>
        <w:t>小窝蛋白是在核糖体上通过转录和翻译过程合成的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eastAsia"/>
          <w:b w:val="0"/>
          <w:bCs/>
        </w:rPr>
      </w:pPr>
      <w:r>
        <w:rPr>
          <w:rFonts w:ascii="Times New Roman" w:eastAsia="宋体" w:hAnsi="Times New Roman" w:cs="Times New Roman" w:hint="default"/>
          <w:b w:val="0"/>
          <w:bCs/>
        </w:rPr>
        <w:t>D</w:t>
      </w:r>
      <w:r>
        <w:rPr>
          <w:rFonts w:ascii="Times New Roman" w:hAnsi="Times New Roman" w:cs="Times New Roman" w:hint="eastAsia"/>
          <w:b w:val="0"/>
          <w:bCs/>
          <w:lang w:val="en-US" w:eastAsia="zh-CN"/>
        </w:rPr>
        <w:t>.</w:t>
      </w:r>
      <w:r>
        <w:rPr>
          <w:rFonts w:ascii="宋体" w:eastAsia="宋体" w:hAnsi="宋体" w:cs="宋体" w:hint="eastAsia"/>
          <w:b w:val="0"/>
          <w:bCs/>
        </w:rPr>
        <w:t>内质网和高尔基体都</w:t>
      </w:r>
      <w:r>
        <w:rPr>
          <w:rFonts w:ascii="宋体" w:hAnsi="宋体" w:cs="宋体" w:hint="eastAsia"/>
          <w:b w:val="0"/>
          <w:bCs/>
          <w:lang w:val="en-US" w:eastAsia="zh-CN"/>
        </w:rPr>
        <w:t>可能</w:t>
      </w:r>
      <w:r>
        <w:rPr>
          <w:rFonts w:ascii="宋体" w:eastAsia="宋体" w:hAnsi="宋体" w:cs="宋体" w:hint="eastAsia"/>
          <w:b w:val="0"/>
          <w:bCs/>
        </w:rPr>
        <w:t>参与了小窝蛋白的加工与转运</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eastAsia"/>
          <w:b w:val="0"/>
          <w:bCs/>
          <w:color w:val="auto"/>
          <w:szCs w:val="21"/>
          <w:lang w:val="en-US" w:eastAsia="zh-CN"/>
        </w:rPr>
        <w:t>5.</w:t>
      </w:r>
      <w:r>
        <w:rPr>
          <w:rFonts w:ascii="宋体" w:hint="eastAsia"/>
          <w:b w:val="0"/>
          <w:bCs/>
          <w:color w:val="auto"/>
          <w:szCs w:val="21"/>
        </w:rPr>
        <w:t>心房颤动是危害严重的心律失常疾病，其致病机制是核孔复合体的运输障碍。核孔复合体主要由核孔蛋白构成，是物质进出细胞核的重要通道。下列叙述错误的是（　　）</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default"/>
          <w:b w:val="0"/>
          <w:bCs/>
          <w:color w:val="auto"/>
          <w:szCs w:val="21"/>
        </w:rPr>
        <w:t>A</w:t>
      </w:r>
      <w:r>
        <w:rPr>
          <w:rFonts w:ascii="Times New Roman" w:hAnsi="Times New Roman" w:cs="Times New Roman" w:hint="eastAsia"/>
          <w:b w:val="0"/>
          <w:bCs/>
          <w:color w:val="auto"/>
          <w:szCs w:val="21"/>
          <w:lang w:val="en-US" w:eastAsia="zh-CN"/>
        </w:rPr>
        <w:t>.</w:t>
      </w:r>
      <w:r>
        <w:rPr>
          <w:rFonts w:ascii="宋体" w:hint="eastAsia"/>
          <w:b w:val="0"/>
          <w:bCs/>
          <w:color w:val="auto"/>
          <w:szCs w:val="21"/>
        </w:rPr>
        <w:t>核孔复合体数量随细胞种类以及细胞代谢状况不同而改变</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default"/>
          <w:b w:val="0"/>
          <w:bCs/>
          <w:color w:val="auto"/>
          <w:szCs w:val="21"/>
        </w:rPr>
        <w:t>B</w:t>
      </w:r>
      <w:r>
        <w:rPr>
          <w:rFonts w:ascii="宋体" w:hint="eastAsia"/>
          <w:b w:val="0"/>
          <w:bCs/>
          <w:color w:val="auto"/>
          <w:szCs w:val="21"/>
          <w:lang w:val="en-US" w:eastAsia="zh-CN"/>
        </w:rPr>
        <w:t>.</w:t>
      </w:r>
      <w:r>
        <w:rPr>
          <w:rFonts w:ascii="宋体" w:hint="eastAsia"/>
          <w:b w:val="0"/>
          <w:bCs/>
          <w:color w:val="auto"/>
          <w:szCs w:val="21"/>
        </w:rPr>
        <w:t>心房颤动</w:t>
      </w:r>
      <w:r>
        <w:rPr>
          <w:rFonts w:ascii="宋体" w:hint="eastAsia"/>
          <w:b w:val="0"/>
          <w:bCs/>
          <w:color w:val="auto"/>
          <w:szCs w:val="21"/>
          <w:lang w:val="en-US" w:eastAsia="zh-CN"/>
        </w:rPr>
        <w:t>可能</w:t>
      </w:r>
      <w:r>
        <w:rPr>
          <w:rFonts w:ascii="宋体" w:hint="eastAsia"/>
          <w:b w:val="0"/>
          <w:bCs/>
          <w:color w:val="auto"/>
          <w:szCs w:val="21"/>
        </w:rPr>
        <w:t>与核膜内外的信息交流异常有关</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default"/>
          <w:b w:val="0"/>
          <w:bCs/>
          <w:color w:val="auto"/>
          <w:szCs w:val="21"/>
        </w:rPr>
        <w:t>C</w:t>
      </w:r>
      <w:r>
        <w:rPr>
          <w:rFonts w:ascii="宋体" w:hint="eastAsia"/>
          <w:b w:val="0"/>
          <w:bCs/>
          <w:color w:val="auto"/>
          <w:szCs w:val="21"/>
          <w:lang w:val="en-US" w:eastAsia="zh-CN"/>
        </w:rPr>
        <w:t>.</w:t>
      </w:r>
      <w:r>
        <w:rPr>
          <w:rFonts w:ascii="宋体" w:hint="eastAsia"/>
          <w:b w:val="0"/>
          <w:bCs/>
          <w:color w:val="auto"/>
          <w:szCs w:val="21"/>
        </w:rPr>
        <w:t>心房颤动可能</w:t>
      </w:r>
      <w:r>
        <w:rPr>
          <w:rFonts w:ascii="宋体" w:hint="eastAsia"/>
          <w:b w:val="0"/>
          <w:bCs/>
          <w:color w:val="auto"/>
          <w:szCs w:val="21"/>
          <w:lang w:val="en-US" w:eastAsia="zh-CN"/>
        </w:rPr>
        <w:t>由某些</w:t>
      </w:r>
      <w:r>
        <w:rPr>
          <w:rFonts w:ascii="Times New Roman" w:hAnsi="Times New Roman" w:cs="Times New Roman" w:hint="default"/>
          <w:b w:val="0"/>
          <w:bCs/>
          <w:color w:val="auto"/>
          <w:szCs w:val="21"/>
          <w:lang w:val="en-US" w:eastAsia="zh-CN"/>
        </w:rPr>
        <w:t>RNA</w:t>
      </w:r>
      <w:r>
        <w:rPr>
          <w:rFonts w:ascii="宋体" w:hint="eastAsia"/>
          <w:b w:val="0"/>
          <w:bCs/>
          <w:color w:val="auto"/>
          <w:szCs w:val="21"/>
        </w:rPr>
        <w:t>输出细胞核障碍引起</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default"/>
          <w:b w:val="0"/>
          <w:bCs/>
          <w:color w:val="auto"/>
          <w:szCs w:val="21"/>
        </w:rPr>
        <w:t>D</w:t>
      </w:r>
      <w:r>
        <w:rPr>
          <w:rFonts w:ascii="宋体" w:hint="eastAsia"/>
          <w:b w:val="0"/>
          <w:bCs/>
          <w:color w:val="auto"/>
          <w:szCs w:val="21"/>
          <w:lang w:val="en-US" w:eastAsia="zh-CN"/>
        </w:rPr>
        <w:t>.</w:t>
      </w:r>
      <w:r>
        <w:rPr>
          <w:rFonts w:ascii="宋体" w:hint="eastAsia"/>
          <w:b w:val="0"/>
          <w:bCs/>
          <w:color w:val="auto"/>
          <w:szCs w:val="21"/>
        </w:rPr>
        <w:t>核孔运输障碍发生的根本原因是核孔蛋白结构异常</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eastAsia"/>
          <w:b w:val="0"/>
          <w:bCs/>
          <w:color w:val="auto"/>
          <w:szCs w:val="21"/>
          <w:lang w:val="en-US" w:eastAsia="zh-CN"/>
        </w:rPr>
        <w:t>6.</w:t>
      </w:r>
      <w:r>
        <w:rPr>
          <w:rFonts w:ascii="宋体" w:hint="eastAsia"/>
          <w:b w:val="0"/>
          <w:bCs/>
          <w:color w:val="auto"/>
          <w:szCs w:val="21"/>
        </w:rPr>
        <w:t>生物实验设计中需遵循对照原则，下列对照设计方法错误的是（　　）</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default"/>
          <w:b w:val="0"/>
          <w:bCs/>
          <w:color w:val="auto"/>
          <w:szCs w:val="21"/>
        </w:rPr>
        <w:t>A</w:t>
      </w:r>
      <w:r>
        <w:rPr>
          <w:rFonts w:ascii="Times New Roman" w:hAnsi="Times New Roman" w:cs="Times New Roman" w:hint="eastAsia"/>
          <w:b w:val="0"/>
          <w:bCs/>
          <w:color w:val="auto"/>
          <w:szCs w:val="21"/>
          <w:lang w:val="en-US" w:eastAsia="zh-CN"/>
        </w:rPr>
        <w:t>.</w:t>
      </w:r>
      <w:r>
        <w:rPr>
          <w:rFonts w:ascii="宋体" w:hint="eastAsia"/>
          <w:b w:val="0"/>
          <w:bCs/>
          <w:color w:val="auto"/>
          <w:szCs w:val="21"/>
        </w:rPr>
        <w:t>“</w:t>
      </w:r>
      <w:r>
        <w:rPr>
          <w:rFonts w:ascii="宋体" w:hint="eastAsia"/>
          <w:b w:val="0"/>
          <w:bCs/>
          <w:color w:val="auto"/>
          <w:szCs w:val="21"/>
          <w:lang w:val="en-US" w:eastAsia="zh-CN"/>
        </w:rPr>
        <w:t>探究酵母菌细胞呼吸的方式</w:t>
      </w:r>
      <w:r>
        <w:rPr>
          <w:rFonts w:ascii="宋体" w:hint="eastAsia"/>
          <w:b w:val="0"/>
          <w:bCs/>
          <w:color w:val="auto"/>
          <w:szCs w:val="21"/>
        </w:rPr>
        <w:t>”实验中，设计</w:t>
      </w:r>
      <w:r>
        <w:rPr>
          <w:rFonts w:ascii="宋体" w:hint="eastAsia"/>
          <w:b w:val="0"/>
          <w:bCs/>
          <w:color w:val="auto"/>
          <w:szCs w:val="21"/>
          <w:lang w:val="en-US" w:eastAsia="zh-CN"/>
        </w:rPr>
        <w:t>无氧呼吸组</w:t>
      </w:r>
      <w:r>
        <w:rPr>
          <w:rFonts w:ascii="宋体" w:hint="eastAsia"/>
          <w:b w:val="0"/>
          <w:bCs/>
          <w:color w:val="auto"/>
          <w:szCs w:val="21"/>
        </w:rPr>
        <w:t>作空白对照</w:t>
      </w:r>
    </w:p>
    <w:p>
      <w:pPr>
        <w:keepNext w:val="0"/>
        <w:keepLines w:val="0"/>
        <w:pageBreakBefore w:val="0"/>
        <w:kinsoku/>
        <w:wordWrap/>
        <w:overflowPunct/>
        <w:topLinePunct w:val="0"/>
        <w:autoSpaceDE/>
        <w:autoSpaceDN/>
        <w:bidi w:val="0"/>
        <w:adjustRightInd/>
        <w:snapToGrid/>
        <w:spacing w:line="288" w:lineRule="auto"/>
        <w:rPr>
          <w:rFonts w:ascii="Times New Roman" w:hAnsi="Times New Roman" w:cs="Times New Roman" w:hint="default"/>
          <w:b w:val="0"/>
          <w:bCs/>
          <w:color w:val="auto"/>
          <w:szCs w:val="21"/>
        </w:rPr>
      </w:pPr>
      <w:r>
        <w:rPr>
          <w:rFonts w:ascii="Times New Roman" w:hAnsi="Times New Roman" w:cs="Times New Roman" w:hint="default"/>
          <w:b w:val="0"/>
          <w:bCs/>
          <w:color w:val="auto"/>
          <w:szCs w:val="21"/>
        </w:rPr>
        <w:t>B</w:t>
      </w:r>
      <w:r>
        <w:rPr>
          <w:rFonts w:ascii="Times New Roman" w:hAnsi="Times New Roman" w:cs="Times New Roman" w:hint="eastAsia"/>
          <w:b w:val="0"/>
          <w:bCs/>
          <w:color w:val="auto"/>
          <w:szCs w:val="21"/>
          <w:lang w:val="en-US" w:eastAsia="zh-CN"/>
        </w:rPr>
        <w:t>.</w:t>
      </w:r>
      <w:r>
        <w:rPr>
          <w:rFonts w:ascii="宋体" w:eastAsia="宋体" w:hAnsi="宋体" w:cs="宋体" w:hint="eastAsia"/>
          <w:b w:val="0"/>
          <w:bCs/>
          <w:color w:val="auto"/>
          <w:szCs w:val="21"/>
        </w:rPr>
        <w:t>“</w:t>
      </w:r>
      <w:r>
        <w:rPr>
          <w:rFonts w:ascii="Times New Roman" w:hAnsi="Times New Roman" w:cs="Times New Roman" w:hint="default"/>
          <w:b w:val="0"/>
          <w:bCs/>
          <w:color w:val="auto"/>
          <w:szCs w:val="21"/>
        </w:rPr>
        <w:t>探究酶的催化效率</w:t>
      </w:r>
      <w:r>
        <w:rPr>
          <w:rFonts w:ascii="宋体" w:eastAsia="宋体" w:hAnsi="宋体" w:cs="宋体" w:hint="eastAsia"/>
          <w:b w:val="0"/>
          <w:bCs/>
          <w:color w:val="auto"/>
          <w:szCs w:val="21"/>
        </w:rPr>
        <w:t>”</w:t>
      </w:r>
      <w:r>
        <w:rPr>
          <w:rFonts w:ascii="Times New Roman" w:hAnsi="Times New Roman" w:cs="Times New Roman" w:hint="default"/>
          <w:b w:val="0"/>
          <w:bCs/>
          <w:color w:val="auto"/>
          <w:szCs w:val="21"/>
        </w:rPr>
        <w:t>实验中，</w:t>
      </w:r>
      <w:r>
        <w:rPr>
          <w:rFonts w:ascii="Times New Roman" w:hAnsi="Times New Roman" w:cs="Times New Roman" w:hint="eastAsia"/>
          <w:b w:val="0"/>
          <w:bCs/>
          <w:color w:val="auto"/>
          <w:szCs w:val="21"/>
          <w:lang w:val="en-US" w:eastAsia="zh-CN"/>
        </w:rPr>
        <w:t>可用无机催化剂</w:t>
      </w:r>
      <w:r>
        <w:rPr>
          <w:rFonts w:ascii="Times New Roman" w:hAnsi="Times New Roman" w:cs="Times New Roman" w:hint="default"/>
          <w:b w:val="0"/>
          <w:bCs/>
          <w:color w:val="auto"/>
          <w:szCs w:val="21"/>
        </w:rPr>
        <w:t>组作对照</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default"/>
          <w:b w:val="0"/>
          <w:bCs/>
          <w:color w:val="auto"/>
          <w:szCs w:val="21"/>
        </w:rPr>
        <w:t>C</w:t>
      </w:r>
      <w:r>
        <w:rPr>
          <w:rFonts w:ascii="Times New Roman" w:hAnsi="Times New Roman" w:cs="Times New Roman" w:hint="eastAsia"/>
          <w:b w:val="0"/>
          <w:bCs/>
          <w:color w:val="auto"/>
          <w:szCs w:val="21"/>
          <w:lang w:val="en-US" w:eastAsia="zh-CN"/>
        </w:rPr>
        <w:t>.</w:t>
      </w:r>
      <w:r>
        <w:rPr>
          <w:rFonts w:ascii="宋体" w:hint="eastAsia"/>
          <w:b w:val="0"/>
          <w:bCs/>
          <w:color w:val="auto"/>
          <w:szCs w:val="21"/>
        </w:rPr>
        <w:t>“探究pH对过氧化氢酶的影响"实验中，设</w:t>
      </w:r>
      <w:r>
        <w:rPr>
          <w:rFonts w:ascii="宋体" w:hint="eastAsia"/>
          <w:b w:val="0"/>
          <w:bCs/>
          <w:color w:val="auto"/>
          <w:szCs w:val="21"/>
          <w:lang w:val="en-US" w:eastAsia="zh-CN"/>
        </w:rPr>
        <w:t>置不同的</w:t>
      </w:r>
      <w:r>
        <w:rPr>
          <w:rFonts w:ascii="宋体" w:hint="eastAsia"/>
          <w:b w:val="0"/>
          <w:bCs/>
          <w:color w:val="auto"/>
          <w:szCs w:val="21"/>
        </w:rPr>
        <w:t>pH组以构成相互对照</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default"/>
          <w:b w:val="0"/>
          <w:bCs/>
          <w:color w:val="auto"/>
          <w:szCs w:val="21"/>
        </w:rPr>
        <w:t>D</w:t>
      </w:r>
      <w:r>
        <w:rPr>
          <w:rFonts w:ascii="Times New Roman" w:hAnsi="Times New Roman" w:cs="Times New Roman" w:hint="eastAsia"/>
          <w:b w:val="0"/>
          <w:bCs/>
          <w:color w:val="auto"/>
          <w:szCs w:val="21"/>
          <w:lang w:val="en-US" w:eastAsia="zh-CN"/>
        </w:rPr>
        <w:t>.</w:t>
      </w:r>
      <w:r>
        <w:rPr>
          <w:rFonts w:ascii="宋体" w:hint="eastAsia"/>
          <w:b w:val="0"/>
          <w:bCs/>
          <w:color w:val="auto"/>
          <w:szCs w:val="21"/>
        </w:rPr>
        <w:t>“观察洋葱表皮细胞的质壁分离及复原”实验中，以细胞自身实验前后变化进行对照</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rPr>
          <w:rFonts w:ascii="Times New Roman" w:hAnsi="Times New Roman" w:hint="eastAsia"/>
          <w:sz w:val="21"/>
          <w:szCs w:val="21"/>
        </w:rPr>
      </w:pPr>
      <w:r>
        <w:rPr>
          <w:rFonts w:ascii="Times New Roman" w:hAnsi="Times New Roman" w:hint="eastAsia"/>
          <w:sz w:val="21"/>
          <w:szCs w:val="21"/>
          <w:lang w:val="en-US" w:eastAsia="zh-CN"/>
        </w:rPr>
        <w:t>7</w:t>
      </w:r>
      <w:r>
        <w:rPr>
          <w:rFonts w:ascii="Times New Roman" w:hAnsi="Times New Roman"/>
          <w:sz w:val="21"/>
          <w:szCs w:val="21"/>
        </w:rPr>
        <w:t>.小明同学用形态和生理状况相似的某植物叶片下表皮细胞为材料，进行了如下实验，实验过程中相关细胞都保持生理活性，结果如下表所示。下列分析</w:t>
      </w:r>
      <w:r>
        <w:rPr>
          <w:rFonts w:ascii="Times New Roman" w:hAnsi="Times New Roman"/>
          <w:sz w:val="21"/>
          <w:szCs w:val="21"/>
          <w:em w:val="dot"/>
        </w:rPr>
        <w:t>错误</w:t>
      </w:r>
      <w:r>
        <w:rPr>
          <w:rFonts w:ascii="Times New Roman" w:hAnsi="Times New Roman"/>
          <w:sz w:val="21"/>
          <w:szCs w:val="21"/>
        </w:rPr>
        <w:t xml:space="preserve">的是（   </w:t>
      </w:r>
      <w:r>
        <w:rPr>
          <w:rFonts w:ascii="Times New Roman" w:hAnsi="Times New Roman" w:hint="eastAsia"/>
          <w:sz w:val="21"/>
          <w:szCs w:val="21"/>
        </w:rPr>
        <w:t>）</w:t>
      </w:r>
    </w:p>
    <w:tbl>
      <w:tblPr>
        <w:tblStyle w:val="TableNormal"/>
        <w:tblpPr w:leftFromText="180" w:rightFromText="180" w:vertAnchor="text" w:horzAnchor="page" w:tblpXSpec="center" w:tblpY="136"/>
        <w:tblOverlap w:val="never"/>
        <w:tblW w:w="6480" w:type="dxa"/>
        <w:jc w:val="center"/>
        <w:tblCellMar>
          <w:top w:w="0" w:type="dxa"/>
          <w:left w:w="0" w:type="dxa"/>
          <w:bottom w:w="0" w:type="dxa"/>
          <w:right w:w="0" w:type="dxa"/>
        </w:tblCellMar>
      </w:tblPr>
      <w:tblGrid>
        <w:gridCol w:w="2188"/>
        <w:gridCol w:w="680"/>
        <w:gridCol w:w="739"/>
        <w:gridCol w:w="634"/>
        <w:gridCol w:w="750"/>
        <w:gridCol w:w="727"/>
        <w:gridCol w:w="762"/>
      </w:tblGrid>
      <w:tr>
        <w:tblPrEx>
          <w:tblW w:w="6480" w:type="dxa"/>
          <w:jc w:val="center"/>
          <w:tblCellMar>
            <w:top w:w="0" w:type="dxa"/>
            <w:left w:w="0" w:type="dxa"/>
            <w:bottom w:w="0" w:type="dxa"/>
            <w:right w:w="0" w:type="dxa"/>
          </w:tblCellMar>
        </w:tblPrEx>
        <w:trPr>
          <w:trHeight w:val="469"/>
          <w:jc w:val="center"/>
        </w:trPr>
        <w:tc>
          <w:tcPr>
            <w:tcW w:w="2188"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实验组别</w:t>
            </w:r>
          </w:p>
        </w:tc>
        <w:tc>
          <w:tcPr>
            <w:tcW w:w="680"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a</w:t>
            </w:r>
          </w:p>
        </w:tc>
        <w:tc>
          <w:tcPr>
            <w:tcW w:w="739"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b</w:t>
            </w:r>
          </w:p>
        </w:tc>
        <w:tc>
          <w:tcPr>
            <w:tcW w:w="634"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c</w:t>
            </w:r>
          </w:p>
        </w:tc>
        <w:tc>
          <w:tcPr>
            <w:tcW w:w="750"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d</w:t>
            </w:r>
          </w:p>
        </w:tc>
        <w:tc>
          <w:tcPr>
            <w:tcW w:w="727"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e</w:t>
            </w:r>
          </w:p>
        </w:tc>
        <w:tc>
          <w:tcPr>
            <w:tcW w:w="762"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f</w:t>
            </w:r>
          </w:p>
        </w:tc>
      </w:tr>
      <w:tr>
        <w:tblPrEx>
          <w:tblW w:w="6480" w:type="dxa"/>
          <w:jc w:val="center"/>
          <w:tblCellMar>
            <w:top w:w="0" w:type="dxa"/>
            <w:left w:w="0" w:type="dxa"/>
            <w:bottom w:w="0" w:type="dxa"/>
            <w:right w:w="0" w:type="dxa"/>
          </w:tblCellMar>
        </w:tblPrEx>
        <w:trPr>
          <w:trHeight w:val="710"/>
          <w:jc w:val="center"/>
        </w:trPr>
        <w:tc>
          <w:tcPr>
            <w:tcW w:w="2188"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蔗糖溶液浓度（g/m</w:t>
            </w:r>
            <w:r>
              <w:rPr>
                <w:rFonts w:ascii="Times New Roman" w:hAnsi="Times New Roman" w:hint="eastAsia"/>
                <w:kern w:val="0"/>
                <w:szCs w:val="21"/>
                <w:lang w:val="en-US" w:eastAsia="zh-CN" w:bidi="ar"/>
              </w:rPr>
              <w:t>l</w:t>
            </w:r>
            <w:r>
              <w:rPr>
                <w:rFonts w:ascii="Times New Roman" w:hAnsi="Times New Roman" w:hint="eastAsia"/>
                <w:kern w:val="0"/>
                <w:szCs w:val="21"/>
                <w:lang w:bidi="ar"/>
              </w:rPr>
              <w:t>）</w:t>
            </w:r>
          </w:p>
        </w:tc>
        <w:tc>
          <w:tcPr>
            <w:tcW w:w="680"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0.25</w:t>
            </w:r>
          </w:p>
        </w:tc>
        <w:tc>
          <w:tcPr>
            <w:tcW w:w="739"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0.3</w:t>
            </w:r>
          </w:p>
        </w:tc>
        <w:tc>
          <w:tcPr>
            <w:tcW w:w="634"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0.35</w:t>
            </w:r>
          </w:p>
        </w:tc>
        <w:tc>
          <w:tcPr>
            <w:tcW w:w="750"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kern w:val="0"/>
                <w:szCs w:val="21"/>
                <w:lang w:bidi="ar"/>
              </w:rPr>
            </w:pPr>
            <w:r>
              <w:rPr>
                <w:rFonts w:ascii="Times New Roman" w:hAnsi="Times New Roman"/>
                <w:kern w:val="0"/>
                <w:szCs w:val="21"/>
                <w:lang w:bidi="ar"/>
              </w:rPr>
              <w:t>0.4</w:t>
            </w:r>
          </w:p>
        </w:tc>
        <w:tc>
          <w:tcPr>
            <w:tcW w:w="727"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kern w:val="0"/>
                <w:szCs w:val="21"/>
                <w:lang w:bidi="ar"/>
              </w:rPr>
            </w:pPr>
            <w:r>
              <w:rPr>
                <w:rFonts w:ascii="Times New Roman" w:hAnsi="Times New Roman"/>
                <w:kern w:val="0"/>
                <w:szCs w:val="21"/>
                <w:lang w:bidi="ar"/>
              </w:rPr>
              <w:t>0.45</w:t>
            </w:r>
          </w:p>
        </w:tc>
        <w:tc>
          <w:tcPr>
            <w:tcW w:w="762"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0.5</w:t>
            </w:r>
          </w:p>
        </w:tc>
      </w:tr>
      <w:tr>
        <w:tblPrEx>
          <w:tblW w:w="6480" w:type="dxa"/>
          <w:jc w:val="center"/>
          <w:tblCellMar>
            <w:top w:w="0" w:type="dxa"/>
            <w:left w:w="0" w:type="dxa"/>
            <w:bottom w:w="0" w:type="dxa"/>
            <w:right w:w="0" w:type="dxa"/>
          </w:tblCellMar>
        </w:tblPrEx>
        <w:trPr>
          <w:trHeight w:val="1020"/>
          <w:jc w:val="center"/>
        </w:trPr>
        <w:tc>
          <w:tcPr>
            <w:tcW w:w="2188"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实验前细胞长度/实验后细胞长度</w:t>
            </w:r>
          </w:p>
        </w:tc>
        <w:tc>
          <w:tcPr>
            <w:tcW w:w="680"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0.7</w:t>
            </w:r>
          </w:p>
        </w:tc>
        <w:tc>
          <w:tcPr>
            <w:tcW w:w="739"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0.8</w:t>
            </w:r>
          </w:p>
        </w:tc>
        <w:tc>
          <w:tcPr>
            <w:tcW w:w="634"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0.9</w:t>
            </w:r>
          </w:p>
        </w:tc>
        <w:tc>
          <w:tcPr>
            <w:tcW w:w="750"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1.05</w:t>
            </w:r>
          </w:p>
        </w:tc>
        <w:tc>
          <w:tcPr>
            <w:tcW w:w="727"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1.1</w:t>
            </w:r>
          </w:p>
        </w:tc>
        <w:tc>
          <w:tcPr>
            <w:tcW w:w="762" w:type="dxa"/>
            <w:tcBorders>
              <w:top w:val="single" w:sz="4" w:space="0" w:color="000000"/>
              <w:left w:val="single" w:sz="4" w:space="0" w:color="000000"/>
              <w:bottom w:val="single" w:sz="4" w:space="0" w:color="000000"/>
              <w:right w:val="single" w:sz="4" w:space="0" w:color="00000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ascii="Times New Roman" w:hAnsi="Times New Roman"/>
                <w:szCs w:val="21"/>
              </w:rPr>
            </w:pPr>
            <w:r>
              <w:rPr>
                <w:rFonts w:ascii="Times New Roman" w:hAnsi="Times New Roman"/>
                <w:kern w:val="0"/>
                <w:szCs w:val="21"/>
                <w:lang w:bidi="ar"/>
              </w:rPr>
              <w:t>1.15</w:t>
            </w:r>
          </w:p>
        </w:tc>
      </w:tr>
    </w:tbl>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rPr>
          <w:rFonts w:ascii="Times New Roman" w:hAnsi="Times New Roman"/>
          <w:sz w:val="21"/>
          <w:szCs w:val="21"/>
        </w:rPr>
      </w:pP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rPr>
          <w:rFonts w:ascii="Times New Roman" w:hAnsi="Times New Roman"/>
          <w:sz w:val="21"/>
          <w:szCs w:val="21"/>
        </w:rPr>
      </w:pP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rPr>
          <w:rFonts w:ascii="Times New Roman" w:hAnsi="Times New Roman"/>
          <w:sz w:val="21"/>
          <w:szCs w:val="21"/>
        </w:rPr>
      </w:pP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rPr>
          <w:rFonts w:ascii="Times New Roman" w:hAnsi="Times New Roman"/>
          <w:sz w:val="21"/>
          <w:szCs w:val="21"/>
        </w:rPr>
      </w:pP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rPr>
          <w:rFonts w:ascii="Times New Roman" w:hAnsi="Times New Roman"/>
          <w:sz w:val="21"/>
          <w:szCs w:val="21"/>
        </w:rPr>
      </w:pP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center"/>
        <w:rPr>
          <w:rFonts w:ascii="Times New Roman" w:hAnsi="Times New Roman"/>
          <w:sz w:val="21"/>
          <w:szCs w:val="21"/>
        </w:rPr>
      </w:pP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rPr>
          <w:rFonts w:ascii="Times New Roman" w:hAnsi="Times New Roman"/>
          <w:sz w:val="21"/>
          <w:szCs w:val="21"/>
        </w:rPr>
      </w:pP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rPr>
          <w:rFonts w:ascii="Times New Roman" w:hAnsi="Times New Roman"/>
          <w:sz w:val="21"/>
          <w:szCs w:val="21"/>
        </w:rPr>
      </w:pPr>
      <w:r>
        <w:rPr>
          <w:rFonts w:ascii="Times New Roman" w:hAnsi="Times New Roman"/>
          <w:sz w:val="21"/>
          <w:szCs w:val="21"/>
        </w:rPr>
        <w:t>A. 6组实验中，表皮细胞都能发生渗透作用，出现</w:t>
      </w:r>
      <w:r>
        <w:rPr>
          <w:rFonts w:ascii="Times New Roman" w:hAnsi="Times New Roman" w:hint="eastAsia"/>
          <w:sz w:val="21"/>
          <w:szCs w:val="21"/>
        </w:rPr>
        <w:t>相应的</w:t>
      </w:r>
      <w:r>
        <w:rPr>
          <w:rFonts w:ascii="Times New Roman" w:hAnsi="Times New Roman"/>
          <w:sz w:val="21"/>
          <w:szCs w:val="21"/>
        </w:rPr>
        <w:t>吸水</w:t>
      </w:r>
      <w:r>
        <w:rPr>
          <w:rFonts w:ascii="Times New Roman" w:hAnsi="Times New Roman" w:hint="eastAsia"/>
          <w:sz w:val="21"/>
          <w:szCs w:val="21"/>
        </w:rPr>
        <w:t>或</w:t>
      </w:r>
      <w:r>
        <w:rPr>
          <w:rFonts w:ascii="Times New Roman" w:hAnsi="Times New Roman"/>
          <w:sz w:val="21"/>
          <w:szCs w:val="21"/>
        </w:rPr>
        <w:t>失水现象</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rPr>
          <w:rFonts w:ascii="Times New Roman" w:hAnsi="Times New Roman"/>
          <w:sz w:val="21"/>
          <w:szCs w:val="21"/>
        </w:rPr>
      </w:pPr>
      <w:r>
        <w:rPr>
          <w:rFonts w:ascii="Times New Roman" w:hAnsi="Times New Roman"/>
          <w:sz w:val="21"/>
          <w:szCs w:val="21"/>
        </w:rPr>
        <w:t>B. 细胞在实验前后长度不变的蔗糖浓度介于0.35～0.40g/m</w:t>
      </w:r>
      <w:r>
        <w:rPr>
          <w:rFonts w:ascii="Times New Roman" w:hAnsi="Times New Roman" w:hint="eastAsia"/>
          <w:sz w:val="21"/>
          <w:szCs w:val="21"/>
          <w:lang w:val="en-US" w:eastAsia="zh-CN"/>
        </w:rPr>
        <w:t>l</w:t>
      </w:r>
      <w:r>
        <w:rPr>
          <w:rFonts w:ascii="Times New Roman" w:hAnsi="Times New Roman"/>
          <w:sz w:val="21"/>
          <w:szCs w:val="21"/>
        </w:rPr>
        <w:t>之间</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rPr>
          <w:rFonts w:ascii="Times New Roman" w:hAnsi="Times New Roman"/>
          <w:sz w:val="21"/>
          <w:szCs w:val="21"/>
        </w:rPr>
      </w:pPr>
      <w:r>
        <w:rPr>
          <w:rFonts w:ascii="Times New Roman" w:hAnsi="Times New Roman"/>
          <w:sz w:val="21"/>
          <w:szCs w:val="21"/>
        </w:rPr>
        <w:t>C. 实验后，c组细胞</w:t>
      </w:r>
      <w:r>
        <w:rPr>
          <w:rFonts w:ascii="Times New Roman" w:hAnsi="Times New Roman" w:hint="eastAsia"/>
          <w:sz w:val="21"/>
          <w:szCs w:val="21"/>
        </w:rPr>
        <w:t>的细胞液</w:t>
      </w:r>
      <w:r>
        <w:rPr>
          <w:rFonts w:ascii="Times New Roman" w:hAnsi="Times New Roman"/>
          <w:sz w:val="21"/>
          <w:szCs w:val="21"/>
        </w:rPr>
        <w:t>浓度大于b组</w:t>
      </w:r>
    </w:p>
    <w:p>
      <w:pPr>
        <w:keepNext w:val="0"/>
        <w:keepLines w:val="0"/>
        <w:pageBreakBefore w:val="0"/>
        <w:kinsoku/>
        <w:wordWrap/>
        <w:overflowPunct/>
        <w:topLinePunct w:val="0"/>
        <w:autoSpaceDE/>
        <w:autoSpaceDN/>
        <w:bidi w:val="0"/>
        <w:adjustRightInd/>
        <w:snapToGrid/>
        <w:spacing w:line="288" w:lineRule="auto"/>
        <w:rPr>
          <w:rFonts w:ascii="Times New Roman" w:hAnsi="Times New Roman"/>
          <w:color w:val="auto"/>
          <w:sz w:val="21"/>
          <w:szCs w:val="21"/>
        </w:rPr>
      </w:pPr>
      <w:r>
        <w:rPr>
          <w:rFonts w:ascii="Times New Roman" w:hAnsi="Times New Roman"/>
          <w:color w:val="auto"/>
          <w:sz w:val="21"/>
          <w:szCs w:val="21"/>
        </w:rPr>
        <w:t>D. 实验后，c组表皮细胞长度小于e组</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eastAsia"/>
          <w:b w:val="0"/>
          <w:bCs/>
          <w:color w:val="auto"/>
          <w:szCs w:val="21"/>
          <w:lang w:val="en-US" w:eastAsia="zh-CN"/>
        </w:rPr>
        <w:t>8</w:t>
      </w:r>
      <w:r>
        <w:rPr>
          <w:rFonts w:ascii="Times New Roman" w:hAnsi="Times New Roman" w:cs="Times New Roman" w:hint="default"/>
          <w:b w:val="0"/>
          <w:bCs/>
          <w:color w:val="auto"/>
          <w:szCs w:val="21"/>
        </w:rPr>
        <w:t>.</w:t>
      </w:r>
      <w:r>
        <w:rPr>
          <w:rFonts w:ascii="宋体" w:hint="eastAsia"/>
          <w:b w:val="0"/>
          <w:bCs/>
          <w:color w:val="auto"/>
          <w:szCs w:val="21"/>
        </w:rPr>
        <w:t>《本草纲目》对紫苏的记载如下：“紫苏嫩时采叶，和蔬茹之，或盐及梅卤作俎食甚香，夏月作熟汤饮之。”紫苏叶肉细胞中因含有花青素而表现为紫色。若将紫苏叶放在清水中，水的颜色无明显变化；若对其进行加热，随着水温升高，水的颜色逐渐变成紫色，其原因是（   ）</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default"/>
          <w:b w:val="0"/>
          <w:bCs/>
          <w:color w:val="auto"/>
          <w:szCs w:val="21"/>
        </w:rPr>
        <w:t>A.</w:t>
      </w:r>
      <w:r>
        <w:rPr>
          <w:rFonts w:ascii="宋体" w:hint="eastAsia"/>
          <w:b w:val="0"/>
          <w:bCs/>
          <w:color w:val="auto"/>
          <w:szCs w:val="21"/>
        </w:rPr>
        <w:t>紫苏叶肉细胞中的花青素位于叶绿体中</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default"/>
          <w:b w:val="0"/>
          <w:bCs/>
          <w:color w:val="auto"/>
          <w:szCs w:val="21"/>
        </w:rPr>
        <w:t>B.</w:t>
      </w:r>
      <w:r>
        <w:rPr>
          <w:rFonts w:ascii="宋体" w:hint="eastAsia"/>
          <w:b w:val="0"/>
          <w:bCs/>
          <w:color w:val="auto"/>
          <w:szCs w:val="21"/>
        </w:rPr>
        <w:t>加热使紫苏叶肉细胞中的花青素在水中的溶解度增大</w:t>
      </w:r>
    </w:p>
    <w:p>
      <w:pPr>
        <w:keepNext w:val="0"/>
        <w:keepLines w:val="0"/>
        <w:pageBreakBefore w:val="0"/>
        <w:kinsoku/>
        <w:wordWrap/>
        <w:overflowPunct/>
        <w:topLinePunct w:val="0"/>
        <w:autoSpaceDE/>
        <w:autoSpaceDN/>
        <w:bidi w:val="0"/>
        <w:adjustRightInd/>
        <w:snapToGrid/>
        <w:spacing w:line="288" w:lineRule="auto"/>
        <w:rPr>
          <w:rFonts w:ascii="宋体" w:hint="eastAsia"/>
          <w:b w:val="0"/>
          <w:bCs/>
          <w:color w:val="auto"/>
          <w:szCs w:val="21"/>
        </w:rPr>
      </w:pPr>
      <w:r>
        <w:rPr>
          <w:rFonts w:ascii="Times New Roman" w:hAnsi="Times New Roman" w:cs="Times New Roman" w:hint="default"/>
          <w:b w:val="0"/>
          <w:bCs/>
          <w:color w:val="auto"/>
          <w:szCs w:val="21"/>
        </w:rPr>
        <w:t>C.</w:t>
      </w:r>
      <w:r>
        <w:rPr>
          <w:rFonts w:ascii="宋体" w:hint="eastAsia"/>
          <w:b w:val="0"/>
          <w:bCs/>
          <w:color w:val="auto"/>
          <w:szCs w:val="21"/>
        </w:rPr>
        <w:t>加热使叶肉细胞的生物膜被破坏</w:t>
      </w:r>
    </w:p>
    <w:p>
      <w:pPr>
        <w:keepNext w:val="0"/>
        <w:keepLines w:val="0"/>
        <w:pageBreakBefore w:val="0"/>
        <w:kinsoku/>
        <w:wordWrap/>
        <w:overflowPunct/>
        <w:topLinePunct w:val="0"/>
        <w:autoSpaceDE/>
        <w:autoSpaceDN/>
        <w:bidi w:val="0"/>
        <w:adjustRightInd/>
        <w:snapToGrid/>
        <w:spacing w:line="288" w:lineRule="auto"/>
        <w:rPr>
          <w:rFonts w:ascii="Times New Roman" w:hAnsi="Times New Roman"/>
          <w:color w:val="0913DC"/>
          <w:sz w:val="21"/>
          <w:szCs w:val="21"/>
        </w:rPr>
      </w:pPr>
      <w:r>
        <w:rPr>
          <w:rFonts w:ascii="Times New Roman" w:hAnsi="Times New Roman" w:cs="Times New Roman" w:hint="default"/>
          <w:b w:val="0"/>
          <w:bCs/>
          <w:color w:val="auto"/>
          <w:szCs w:val="21"/>
        </w:rPr>
        <w:t>D.</w:t>
      </w:r>
      <w:r>
        <w:rPr>
          <w:rFonts w:ascii="宋体" w:hint="eastAsia"/>
          <w:b w:val="0"/>
          <w:bCs/>
          <w:color w:val="auto"/>
          <w:szCs w:val="21"/>
        </w:rPr>
        <w:t>加热使细胞壁失去了选择透过性</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Cs w:val="21"/>
        </w:rPr>
      </w:pPr>
      <w:r>
        <w:rPr>
          <w:szCs w:val="21"/>
        </w:rPr>
        <w:drawing>
          <wp:anchor distT="0" distB="0" distL="114300" distR="114300" simplePos="0" relativeHeight="251661312" behindDoc="0" locked="0" layoutInCell="1" allowOverlap="1">
            <wp:simplePos x="0" y="0"/>
            <wp:positionH relativeFrom="column">
              <wp:posOffset>1123315</wp:posOffset>
            </wp:positionH>
            <wp:positionV relativeFrom="paragraph">
              <wp:posOffset>479425</wp:posOffset>
            </wp:positionV>
            <wp:extent cx="2156460" cy="1814830"/>
            <wp:effectExtent l="0" t="0" r="15240" b="13970"/>
            <wp:wrapTopAndBottom/>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25901" name="图片 4"/>
                    <pic:cNvPicPr>
                      <a:picLocks noChangeAspect="1"/>
                    </pic:cNvPicPr>
                  </pic:nvPicPr>
                  <pic:blipFill>
                    <a:blip xmlns:r="http://schemas.openxmlformats.org/officeDocument/2006/relationships" r:embed="rId8"/>
                    <a:stretch>
                      <a:fillRect/>
                    </a:stretch>
                  </pic:blipFill>
                  <pic:spPr>
                    <a:xfrm>
                      <a:off x="0" y="0"/>
                      <a:ext cx="2156460" cy="1814830"/>
                    </a:xfrm>
                    <a:prstGeom prst="rect">
                      <a:avLst/>
                    </a:prstGeom>
                    <a:noFill/>
                    <a:ln>
                      <a:noFill/>
                    </a:ln>
                  </pic:spPr>
                </pic:pic>
              </a:graphicData>
            </a:graphic>
          </wp:anchor>
        </w:drawing>
      </w:r>
      <w:r>
        <w:rPr>
          <w:rFonts w:ascii="Times New Roman" w:hAnsi="Times New Roman" w:cs="Times New Roman" w:hint="default"/>
          <w:szCs w:val="21"/>
          <w:lang w:val="en-US" w:eastAsia="zh-CN"/>
        </w:rPr>
        <w:t>9</w:t>
      </w:r>
      <w:r>
        <w:rPr>
          <w:szCs w:val="21"/>
        </w:rPr>
        <w:t>.如图为研究渗透作用的实验装置，图中半透膜允许水分子透过，而蔗糖分子和葡萄糖分子则不能透过，下列说法正确的是（　</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rFonts w:ascii="Times New Roman" w:hAnsi="Times New Roman" w:cs="Times New Roman" w:hint="default"/>
          <w:szCs w:val="21"/>
        </w:rPr>
        <w:t>A</w:t>
      </w:r>
      <w:r>
        <w:rPr>
          <w:szCs w:val="21"/>
        </w:rPr>
        <w:t>.漏斗内外起始液面</w:t>
      </w:r>
      <w:r>
        <w:rPr>
          <w:rFonts w:hint="eastAsia"/>
          <w:szCs w:val="21"/>
        </w:rPr>
        <w:t>高度相同</w:t>
      </w:r>
      <w:r>
        <w:rPr>
          <w:szCs w:val="21"/>
        </w:rPr>
        <w:t>，S1</w:t>
      </w:r>
      <w:r>
        <w:rPr>
          <w:rFonts w:hint="eastAsia"/>
          <w:szCs w:val="21"/>
        </w:rPr>
        <w:t>、</w:t>
      </w:r>
      <w:r>
        <w:rPr>
          <w:szCs w:val="21"/>
        </w:rPr>
        <w:t>S2</w:t>
      </w:r>
      <w:r>
        <w:rPr>
          <w:rFonts w:hint="eastAsia"/>
          <w:szCs w:val="21"/>
        </w:rPr>
        <w:t>均</w:t>
      </w:r>
      <w:r>
        <w:rPr>
          <w:szCs w:val="21"/>
        </w:rPr>
        <w:t>为蔗糖溶液</w:t>
      </w:r>
      <w:r>
        <w:rPr>
          <w:rFonts w:hint="eastAsia"/>
          <w:szCs w:val="21"/>
        </w:rPr>
        <w:t>，若</w:t>
      </w:r>
      <w:r>
        <w:rPr>
          <w:szCs w:val="21"/>
        </w:rPr>
        <w:t>渗透平衡时的液面</w:t>
      </w:r>
      <w:r>
        <w:rPr>
          <w:rFonts w:hint="eastAsia"/>
          <w:szCs w:val="21"/>
        </w:rPr>
        <w:t>内高外低，用</w:t>
      </w:r>
      <w:r>
        <w:rPr>
          <w:szCs w:val="21"/>
        </w:rPr>
        <w:t>△h</w:t>
      </w:r>
      <w:r>
        <w:rPr>
          <w:rFonts w:hint="eastAsia"/>
          <w:szCs w:val="21"/>
        </w:rPr>
        <w:t>表示</w:t>
      </w:r>
      <w:r>
        <w:rPr>
          <w:szCs w:val="21"/>
        </w:rPr>
        <w:t>，说明初始浓度S1＞S2，达到平衡时浓度S1=S2</w:t>
      </w:r>
    </w:p>
    <w:p>
      <w:pPr>
        <w:keepNext w:val="0"/>
        <w:keepLines w:val="0"/>
        <w:pageBreakBefore w:val="0"/>
        <w:widowControl w:val="0"/>
        <w:kinsoku/>
        <w:wordWrap/>
        <w:overflowPunct/>
        <w:topLinePunct w:val="0"/>
        <w:autoSpaceDE/>
        <w:autoSpaceDN/>
        <w:bidi w:val="0"/>
        <w:adjustRightInd/>
        <w:snapToGrid/>
        <w:spacing w:line="288" w:lineRule="auto"/>
        <w:textAlignment w:val="auto"/>
        <w:rPr>
          <w:color w:val="auto"/>
          <w:szCs w:val="21"/>
        </w:rPr>
      </w:pPr>
      <w:r>
        <w:rPr>
          <w:rFonts w:ascii="Times New Roman" w:hAnsi="Times New Roman" w:cs="Times New Roman" w:hint="default"/>
          <w:color w:val="auto"/>
          <w:szCs w:val="21"/>
        </w:rPr>
        <w:t>B</w:t>
      </w:r>
      <w:r>
        <w:rPr>
          <w:color w:val="auto"/>
          <w:szCs w:val="21"/>
        </w:rPr>
        <w:t>.漏斗内外起始液面</w:t>
      </w:r>
      <w:r>
        <w:rPr>
          <w:rFonts w:hint="eastAsia"/>
          <w:color w:val="auto"/>
          <w:szCs w:val="21"/>
        </w:rPr>
        <w:t>高度相同</w:t>
      </w:r>
      <w:r>
        <w:rPr>
          <w:color w:val="auto"/>
          <w:szCs w:val="21"/>
        </w:rPr>
        <w:t>，S1</w:t>
      </w:r>
      <w:r>
        <w:rPr>
          <w:rFonts w:hint="eastAsia"/>
          <w:color w:val="auto"/>
          <w:szCs w:val="21"/>
        </w:rPr>
        <w:t>、</w:t>
      </w:r>
      <w:r>
        <w:rPr>
          <w:color w:val="auto"/>
          <w:szCs w:val="21"/>
        </w:rPr>
        <w:t>S2</w:t>
      </w:r>
      <w:r>
        <w:rPr>
          <w:rFonts w:hint="eastAsia"/>
          <w:color w:val="auto"/>
          <w:szCs w:val="21"/>
        </w:rPr>
        <w:t>均</w:t>
      </w:r>
      <w:r>
        <w:rPr>
          <w:color w:val="auto"/>
          <w:szCs w:val="21"/>
        </w:rPr>
        <w:t>为蔗糖溶液</w:t>
      </w:r>
      <w:r>
        <w:rPr>
          <w:rFonts w:hint="eastAsia"/>
          <w:color w:val="auto"/>
          <w:szCs w:val="21"/>
        </w:rPr>
        <w:t>，若</w:t>
      </w:r>
      <w:r>
        <w:rPr>
          <w:color w:val="auto"/>
          <w:szCs w:val="21"/>
        </w:rPr>
        <w:t>渗透平衡时的液面</w:t>
      </w:r>
      <w:r>
        <w:rPr>
          <w:rFonts w:hint="eastAsia"/>
          <w:color w:val="auto"/>
          <w:szCs w:val="21"/>
        </w:rPr>
        <w:t>内高外低，用</w:t>
      </w:r>
      <w:r>
        <w:rPr>
          <w:color w:val="auto"/>
          <w:szCs w:val="21"/>
        </w:rPr>
        <w:t>△h</w:t>
      </w:r>
      <w:r>
        <w:rPr>
          <w:rFonts w:hint="eastAsia"/>
          <w:color w:val="auto"/>
          <w:szCs w:val="21"/>
        </w:rPr>
        <w:t>表示，</w:t>
      </w:r>
      <w:r>
        <w:rPr>
          <w:color w:val="auto"/>
          <w:szCs w:val="21"/>
        </w:rPr>
        <w:t>△h</w:t>
      </w:r>
      <w:r>
        <w:rPr>
          <w:rFonts w:hint="eastAsia"/>
          <w:color w:val="auto"/>
          <w:szCs w:val="21"/>
        </w:rPr>
        <w:t>产生的压力</w:t>
      </w:r>
      <w:r>
        <w:rPr>
          <w:color w:val="auto"/>
          <w:szCs w:val="21"/>
        </w:rPr>
        <w:t>会阻止液面继续上升</w:t>
      </w:r>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rFonts w:ascii="Times New Roman" w:hAnsi="Times New Roman" w:cs="Times New Roman" w:hint="default"/>
          <w:szCs w:val="21"/>
        </w:rPr>
        <w:t>C.</w:t>
      </w:r>
      <w:r>
        <w:rPr>
          <w:rFonts w:hint="eastAsia"/>
          <w:szCs w:val="21"/>
        </w:rPr>
        <w:t>若将该装置换为</w:t>
      </w:r>
      <w:r>
        <w:rPr>
          <w:szCs w:val="21"/>
        </w:rPr>
        <w:t>起始液面</w:t>
      </w:r>
      <w:r>
        <w:rPr>
          <w:rFonts w:hint="eastAsia"/>
          <w:szCs w:val="21"/>
        </w:rPr>
        <w:t>高度相同的U形管</w:t>
      </w:r>
      <w:r>
        <w:rPr>
          <w:szCs w:val="21"/>
        </w:rPr>
        <w:t>，</w:t>
      </w:r>
      <w:r>
        <w:rPr>
          <w:rFonts w:hint="eastAsia"/>
          <w:szCs w:val="21"/>
        </w:rPr>
        <w:t>左侧</w:t>
      </w:r>
      <w:r>
        <w:rPr>
          <w:szCs w:val="21"/>
        </w:rPr>
        <w:t>为蔗糖溶液，</w:t>
      </w:r>
      <w:r>
        <w:rPr>
          <w:rFonts w:hint="eastAsia"/>
          <w:szCs w:val="21"/>
        </w:rPr>
        <w:t>右侧</w:t>
      </w:r>
      <w:r>
        <w:rPr>
          <w:szCs w:val="21"/>
        </w:rPr>
        <w:t>为质量浓度相等的葡萄糖溶液，则</w:t>
      </w:r>
      <w:r>
        <w:rPr>
          <w:rFonts w:hint="eastAsia"/>
          <w:szCs w:val="21"/>
        </w:rPr>
        <w:t>两侧液面</w:t>
      </w:r>
      <w:r>
        <w:rPr>
          <w:szCs w:val="21"/>
        </w:rPr>
        <w:t>高度</w:t>
      </w:r>
      <w:r>
        <w:rPr>
          <w:rFonts w:hint="eastAsia"/>
          <w:szCs w:val="21"/>
        </w:rPr>
        <w:t>将</w:t>
      </w:r>
      <w:r>
        <w:rPr>
          <w:szCs w:val="21"/>
        </w:rPr>
        <w:t>不</w:t>
      </w:r>
      <w:r>
        <w:rPr>
          <w:rFonts w:hint="eastAsia"/>
          <w:szCs w:val="21"/>
        </w:rPr>
        <w:t>会改</w:t>
      </w:r>
      <w:r>
        <w:rPr>
          <w:szCs w:val="21"/>
        </w:rPr>
        <w:t>变</w:t>
      </w:r>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rFonts w:ascii="Times New Roman" w:hAnsi="Times New Roman" w:cs="Times New Roman" w:hint="default"/>
          <w:szCs w:val="21"/>
        </w:rPr>
        <w:t>D.</w:t>
      </w:r>
      <w:r>
        <w:rPr>
          <w:szCs w:val="21"/>
        </w:rPr>
        <w:t>漏斗内外起始液面</w:t>
      </w:r>
      <w:r>
        <w:rPr>
          <w:rFonts w:hint="eastAsia"/>
          <w:szCs w:val="21"/>
        </w:rPr>
        <w:t>高度相同，</w:t>
      </w:r>
      <w:r>
        <w:rPr>
          <w:szCs w:val="21"/>
        </w:rPr>
        <w:t>S1为蔗糖溶液，S2为</w:t>
      </w:r>
      <w:r>
        <w:rPr>
          <w:rFonts w:hint="eastAsia"/>
          <w:szCs w:val="21"/>
        </w:rPr>
        <w:t>清水，达到平衡后，</w:t>
      </w:r>
      <w:r>
        <w:rPr>
          <w:szCs w:val="21"/>
        </w:rPr>
        <w:t>将漏斗</w:t>
      </w:r>
      <w:r>
        <w:rPr>
          <w:rFonts w:hint="eastAsia"/>
          <w:szCs w:val="21"/>
        </w:rPr>
        <w:t>及缚于其上的半透膜</w:t>
      </w:r>
      <w:r>
        <w:rPr>
          <w:szCs w:val="21"/>
        </w:rPr>
        <w:t>适当向上提升，</w:t>
      </w:r>
      <w:r>
        <w:rPr>
          <w:rFonts w:hint="eastAsia"/>
          <w:szCs w:val="21"/>
        </w:rPr>
        <w:t>达到新的平衡时，</w:t>
      </w:r>
      <w:r>
        <w:rPr>
          <w:szCs w:val="21"/>
        </w:rPr>
        <w:t>漏斗内的液面位置相对于上端管口的位置不变</w:t>
      </w:r>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rFonts w:ascii="Times New Roman" w:hAnsi="Times New Roman" w:cs="Times New Roman" w:hint="eastAsia"/>
          <w:szCs w:val="21"/>
          <w:lang w:val="en-US" w:eastAsia="zh-CN"/>
        </w:rPr>
        <w:t>10</w:t>
      </w:r>
      <w:r>
        <w:rPr>
          <w:rFonts w:ascii="Times New Roman" w:hAnsi="Times New Roman" w:cs="Times New Roman" w:hint="default"/>
          <w:szCs w:val="21"/>
        </w:rPr>
        <w:t>.</w:t>
      </w:r>
      <w:r>
        <w:rPr>
          <w:szCs w:val="21"/>
        </w:rPr>
        <w:t>下列生理过程</w:t>
      </w:r>
      <w:r>
        <w:rPr>
          <w:color w:val="000000"/>
          <w:szCs w:val="21"/>
          <w:em w:val="dot"/>
        </w:rPr>
        <w:t>不需要</w:t>
      </w:r>
      <w:r>
        <w:rPr>
          <w:color w:val="000000"/>
          <w:szCs w:val="21"/>
        </w:rPr>
        <w:t>A</w:t>
      </w:r>
      <w:r>
        <w:rPr>
          <w:szCs w:val="21"/>
        </w:rPr>
        <w:t xml:space="preserve">TP供能的是（   </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eastAsia="宋体" w:hint="default"/>
          <w:szCs w:val="21"/>
          <w:lang w:val="en-US" w:eastAsia="zh-CN"/>
        </w:rPr>
      </w:pPr>
      <w:r>
        <w:rPr>
          <w:rFonts w:ascii="Times New Roman" w:hAnsi="Times New Roman" w:cs="Times New Roman" w:hint="default"/>
          <w:szCs w:val="21"/>
        </w:rPr>
        <w:t>A.</w:t>
      </w:r>
      <w:r>
        <w:rPr>
          <w:rFonts w:hint="eastAsia"/>
          <w:szCs w:val="21"/>
          <w:lang w:val="en-US" w:eastAsia="zh-CN"/>
        </w:rPr>
        <w:t>大肠杆菌吸收</w:t>
      </w:r>
      <w:r>
        <w:rPr>
          <w:rFonts w:ascii="Times New Roman" w:hAnsi="Times New Roman" w:cs="Times New Roman" w:hint="default"/>
          <w:color w:val="auto"/>
          <w:szCs w:val="21"/>
        </w:rPr>
        <w:t>K</w:t>
      </w:r>
      <w:r>
        <w:rPr>
          <w:rFonts w:ascii="Times New Roman" w:hAnsi="Times New Roman" w:cs="Times New Roman" w:hint="default"/>
          <w:color w:val="auto"/>
          <w:szCs w:val="21"/>
          <w:vertAlign w:val="superscript"/>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rFonts w:ascii="Times New Roman" w:hAnsi="Times New Roman" w:cs="Times New Roman" w:hint="default"/>
          <w:szCs w:val="21"/>
        </w:rPr>
        <w:t>B.</w:t>
      </w:r>
      <w:r>
        <w:rPr>
          <w:szCs w:val="21"/>
        </w:rPr>
        <w:t>变形虫通过胞吐作用排出食物残渣和废物的过程</w:t>
      </w:r>
    </w:p>
    <w:p>
      <w:pPr>
        <w:keepNext w:val="0"/>
        <w:keepLines w:val="0"/>
        <w:pageBreakBefore w:val="0"/>
        <w:widowControl w:val="0"/>
        <w:kinsoku/>
        <w:wordWrap/>
        <w:overflowPunct/>
        <w:topLinePunct w:val="0"/>
        <w:autoSpaceDE/>
        <w:autoSpaceDN/>
        <w:bidi w:val="0"/>
        <w:adjustRightInd/>
        <w:snapToGrid/>
        <w:spacing w:line="288" w:lineRule="auto"/>
        <w:textAlignment w:val="auto"/>
        <w:rPr>
          <w:color w:val="auto"/>
          <w:szCs w:val="21"/>
        </w:rPr>
      </w:pPr>
      <w:r>
        <w:rPr>
          <w:rFonts w:ascii="Times New Roman" w:hAnsi="Times New Roman" w:cs="Times New Roman" w:hint="default"/>
          <w:color w:val="auto"/>
          <w:szCs w:val="21"/>
        </w:rPr>
        <w:t>C.</w:t>
      </w:r>
      <w:r>
        <w:rPr>
          <w:color w:val="auto"/>
          <w:szCs w:val="21"/>
        </w:rPr>
        <w:t>K</w:t>
      </w:r>
      <w:r>
        <w:rPr>
          <w:color w:val="auto"/>
          <w:szCs w:val="21"/>
          <w:vertAlign w:val="superscript"/>
        </w:rPr>
        <w:t>+</w:t>
      </w:r>
      <w:r>
        <w:rPr>
          <w:color w:val="auto"/>
          <w:szCs w:val="21"/>
        </w:rPr>
        <w:t>通过</w:t>
      </w:r>
      <w:r>
        <w:rPr>
          <w:rFonts w:ascii="Times New Roman" w:hAnsi="Times New Roman" w:cs="Times New Roman" w:hint="default"/>
          <w:color w:val="auto"/>
          <w:szCs w:val="21"/>
        </w:rPr>
        <w:t>K</w:t>
      </w:r>
      <w:r>
        <w:rPr>
          <w:rFonts w:ascii="Times New Roman" w:hAnsi="Times New Roman" w:cs="Times New Roman" w:hint="default"/>
          <w:color w:val="auto"/>
          <w:szCs w:val="21"/>
          <w:vertAlign w:val="superscript"/>
        </w:rPr>
        <w:t>+</w:t>
      </w:r>
      <w:r>
        <w:rPr>
          <w:color w:val="auto"/>
          <w:szCs w:val="21"/>
        </w:rPr>
        <w:t>通道外流出细胞的过程</w:t>
      </w:r>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rFonts w:ascii="Times New Roman" w:hAnsi="Times New Roman" w:cs="Times New Roman" w:hint="default"/>
          <w:szCs w:val="21"/>
        </w:rPr>
        <w:t>D.</w:t>
      </w:r>
      <w:r>
        <w:rPr>
          <w:szCs w:val="21"/>
        </w:rPr>
        <w:t>甲状腺滤泡上皮细胞吸收碘</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szCs w:val="22"/>
        </w:rPr>
      </w:pPr>
      <w:r>
        <w:rPr>
          <w:rFonts w:ascii="Times New Roman" w:hAnsi="Times New Roman" w:cs="Times New Roman" w:hint="eastAsia"/>
          <w:b w:val="0"/>
          <w:bCs/>
          <w:szCs w:val="22"/>
          <w:lang w:val="en-US" w:eastAsia="zh-CN"/>
        </w:rPr>
        <w:t>11.下图</w:t>
      </w:r>
      <w:r>
        <w:rPr>
          <w:rFonts w:ascii="Times New Roman" w:hAnsi="Times New Roman"/>
          <w:b w:val="0"/>
          <w:bCs/>
          <w:szCs w:val="22"/>
        </w:rPr>
        <w:t>用于研究萌发种子的呼吸作用</w:t>
      </w:r>
      <w:r>
        <w:rPr>
          <w:rFonts w:ascii="Times New Roman" w:hAnsi="Times New Roman" w:hint="eastAsia"/>
          <w:b w:val="0"/>
          <w:bCs/>
          <w:szCs w:val="22"/>
          <w:lang w:val="en-US" w:eastAsia="zh-CN"/>
        </w:rPr>
        <w:t>方式及其产物</w:t>
      </w:r>
      <w:r>
        <w:rPr>
          <w:rFonts w:ascii="Times New Roman" w:hAnsi="Times New Roman"/>
          <w:b w:val="0"/>
          <w:bCs/>
          <w:szCs w:val="22"/>
        </w:rPr>
        <w:t>，有关分析错误的是（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szCs w:val="22"/>
        </w:rPr>
      </w:pPr>
      <w:r>
        <w:rPr>
          <w:rFonts w:ascii="Times New Roman" w:hAnsi="Times New Roman"/>
          <w:b w:val="0"/>
          <w:bCs/>
          <w:szCs w:val="22"/>
        </w:rPr>
        <w:drawing>
          <wp:inline distT="0" distB="0" distL="114300" distR="114300">
            <wp:extent cx="4820285" cy="1391920"/>
            <wp:effectExtent l="0" t="0" r="18415" b="17780"/>
            <wp:docPr id="100015" name="图片 1000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592573" name="图片 100015" descr=" "/>
                    <pic:cNvPicPr>
                      <a:picLocks noChangeAspect="1"/>
                    </pic:cNvPicPr>
                  </pic:nvPicPr>
                  <pic:blipFill>
                    <a:blip xmlns:r="http://schemas.openxmlformats.org/officeDocument/2006/relationships" r:embed="rId9"/>
                    <a:stretch>
                      <a:fillRect/>
                    </a:stretch>
                  </pic:blipFill>
                  <pic:spPr>
                    <a:xfrm>
                      <a:off x="0" y="0"/>
                      <a:ext cx="4820285" cy="13919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szCs w:val="22"/>
        </w:rPr>
      </w:pPr>
      <w:r>
        <w:rPr>
          <w:rFonts w:ascii="Times New Roman" w:hAnsi="Times New Roman" w:cs="Times New Roman" w:hint="default"/>
          <w:b w:val="0"/>
          <w:bCs/>
          <w:szCs w:val="22"/>
        </w:rPr>
        <w:t>A</w:t>
      </w:r>
      <w:r>
        <w:rPr>
          <w:rFonts w:ascii="Times New Roman" w:hAnsi="Times New Roman" w:cs="Times New Roman" w:hint="eastAsia"/>
          <w:b w:val="0"/>
          <w:bCs/>
          <w:szCs w:val="22"/>
          <w:lang w:val="en-US" w:eastAsia="zh-CN"/>
        </w:rPr>
        <w:t>.</w:t>
      </w:r>
      <w:r>
        <w:rPr>
          <w:rFonts w:ascii="Times New Roman" w:hAnsi="Times New Roman"/>
          <w:b w:val="0"/>
          <w:bCs/>
          <w:szCs w:val="22"/>
        </w:rPr>
        <w:t>甲装置可用于探究呼吸作用是否产生热量</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color w:val="auto"/>
          <w:szCs w:val="22"/>
        </w:rPr>
      </w:pPr>
      <w:r>
        <w:rPr>
          <w:rFonts w:ascii="Times New Roman" w:hAnsi="Times New Roman" w:cs="Times New Roman" w:hint="default"/>
          <w:b w:val="0"/>
          <w:bCs/>
          <w:color w:val="auto"/>
          <w:szCs w:val="22"/>
        </w:rPr>
        <w:t>B</w:t>
      </w:r>
      <w:r>
        <w:rPr>
          <w:rFonts w:ascii="Times New Roman" w:hAnsi="Times New Roman" w:cs="Times New Roman" w:hint="eastAsia"/>
          <w:b w:val="0"/>
          <w:bCs/>
          <w:color w:val="auto"/>
          <w:szCs w:val="22"/>
          <w:lang w:val="en-US" w:eastAsia="zh-CN"/>
        </w:rPr>
        <w:t>.</w:t>
      </w:r>
      <w:r>
        <w:rPr>
          <w:rFonts w:ascii="Times New Roman" w:hAnsi="Times New Roman"/>
          <w:b w:val="0"/>
          <w:bCs/>
          <w:color w:val="auto"/>
          <w:szCs w:val="22"/>
        </w:rPr>
        <w:t>乙装置有色液滴向左移动，说明种子萌发只进行有氧呼吸</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szCs w:val="22"/>
        </w:rPr>
      </w:pPr>
      <w:r>
        <w:rPr>
          <w:rFonts w:ascii="Times New Roman" w:hAnsi="Times New Roman" w:cs="Times New Roman" w:hint="default"/>
          <w:b w:val="0"/>
          <w:bCs/>
          <w:szCs w:val="22"/>
        </w:rPr>
        <w:t>C</w:t>
      </w:r>
      <w:r>
        <w:rPr>
          <w:rFonts w:ascii="Times New Roman" w:hAnsi="Times New Roman" w:cs="Times New Roman" w:hint="eastAsia"/>
          <w:b w:val="0"/>
          <w:bCs/>
          <w:szCs w:val="22"/>
          <w:lang w:val="en-US" w:eastAsia="zh-CN"/>
        </w:rPr>
        <w:t>.</w:t>
      </w:r>
      <w:r>
        <w:rPr>
          <w:rFonts w:ascii="Times New Roman" w:hAnsi="Times New Roman"/>
          <w:b w:val="0"/>
          <w:bCs/>
          <w:szCs w:val="22"/>
        </w:rPr>
        <w:t>丙装置可用于探究萌发的种子的呼吸作用是否产生CO</w:t>
      </w:r>
      <w:r>
        <w:rPr>
          <w:rFonts w:ascii="Times New Roman" w:hAnsi="Times New Roman"/>
          <w:b w:val="0"/>
          <w:bCs/>
          <w:szCs w:val="22"/>
          <w:vertAlign w:val="subscript"/>
        </w:rPr>
        <w:t>2</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szCs w:val="22"/>
        </w:rPr>
      </w:pPr>
      <w:r>
        <w:rPr>
          <w:rFonts w:ascii="Times New Roman" w:hAnsi="Times New Roman" w:cs="Times New Roman" w:hint="default"/>
          <w:b w:val="0"/>
          <w:bCs/>
          <w:szCs w:val="22"/>
        </w:rPr>
        <w:t>D</w:t>
      </w:r>
      <w:r>
        <w:rPr>
          <w:rFonts w:ascii="Times New Roman" w:hAnsi="Times New Roman" w:cs="Times New Roman" w:hint="eastAsia"/>
          <w:b w:val="0"/>
          <w:bCs/>
          <w:szCs w:val="22"/>
          <w:lang w:val="en-US" w:eastAsia="zh-CN"/>
        </w:rPr>
        <w:t>.</w:t>
      </w:r>
      <w:r>
        <w:rPr>
          <w:rFonts w:ascii="Times New Roman" w:hAnsi="Times New Roman"/>
          <w:b w:val="0"/>
          <w:bCs/>
          <w:szCs w:val="22"/>
        </w:rPr>
        <w:t>三个装置中的种子都必须进行消毒处理，都需要设置对照实验</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szCs w:val="22"/>
        </w:rPr>
      </w:pPr>
      <w:r>
        <w:rPr>
          <w:rFonts w:ascii="Times New Roman" w:hAnsi="Times New Roman" w:hint="eastAsia"/>
          <w:b w:val="0"/>
          <w:bCs/>
          <w:szCs w:val="22"/>
          <w:lang w:val="en-US" w:eastAsia="zh-CN"/>
        </w:rPr>
        <w:t>12.</w:t>
      </w:r>
      <w:r>
        <w:rPr>
          <w:rFonts w:ascii="Times New Roman" w:hAnsi="Times New Roman"/>
          <w:b w:val="0"/>
          <w:bCs/>
          <w:szCs w:val="22"/>
        </w:rPr>
        <w:t>一瓶含有酵母菌的葡萄糖培养液中通入不同浓度的O</w:t>
      </w:r>
      <w:r>
        <w:rPr>
          <w:rFonts w:ascii="Times New Roman" w:hAnsi="Times New Roman"/>
          <w:b w:val="0"/>
          <w:bCs/>
          <w:szCs w:val="22"/>
          <w:vertAlign w:val="subscript"/>
        </w:rPr>
        <w:t>2</w:t>
      </w:r>
      <w:r>
        <w:rPr>
          <w:rFonts w:ascii="Times New Roman" w:hAnsi="Times New Roman"/>
          <w:b w:val="0"/>
          <w:bCs/>
          <w:szCs w:val="22"/>
        </w:rPr>
        <w:t>后，CO</w:t>
      </w:r>
      <w:r>
        <w:rPr>
          <w:rFonts w:ascii="Times New Roman" w:hAnsi="Times New Roman"/>
          <w:b w:val="0"/>
          <w:bCs/>
          <w:szCs w:val="22"/>
          <w:vertAlign w:val="subscript"/>
        </w:rPr>
        <w:t>2</w:t>
      </w:r>
      <w:r>
        <w:rPr>
          <w:rFonts w:ascii="Times New Roman" w:hAnsi="Times New Roman"/>
          <w:b w:val="0"/>
          <w:bCs/>
          <w:szCs w:val="22"/>
        </w:rPr>
        <w:t>产生量和O</w:t>
      </w:r>
      <w:r>
        <w:rPr>
          <w:rFonts w:ascii="Times New Roman" w:hAnsi="Times New Roman"/>
          <w:b w:val="0"/>
          <w:bCs/>
          <w:szCs w:val="22"/>
          <w:vertAlign w:val="subscript"/>
        </w:rPr>
        <w:t>2</w:t>
      </w:r>
      <w:r>
        <w:rPr>
          <w:rFonts w:ascii="Times New Roman" w:hAnsi="Times New Roman"/>
          <w:b w:val="0"/>
          <w:bCs/>
          <w:szCs w:val="22"/>
        </w:rPr>
        <w:t>的消耗量变化如下图所示。相关叙述错误的是（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szCs w:val="22"/>
        </w:rPr>
      </w:pPr>
      <w:r>
        <w:rPr>
          <w:rFonts w:ascii="Times New Roman" w:hAnsi="Times New Roman"/>
          <w:b w:val="0"/>
          <w:bCs/>
          <w:szCs w:val="22"/>
        </w:rPr>
        <w:drawing>
          <wp:inline distT="0" distB="0" distL="114300" distR="114300">
            <wp:extent cx="2628900" cy="1724025"/>
            <wp:effectExtent l="0" t="0" r="0" b="9525"/>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381210" name="图片 100001" descr=" "/>
                    <pic:cNvPicPr>
                      <a:picLocks noChangeAspect="1"/>
                    </pic:cNvPicPr>
                  </pic:nvPicPr>
                  <pic:blipFill>
                    <a:blip xmlns:r="http://schemas.openxmlformats.org/officeDocument/2006/relationships" r:embed="rId10"/>
                    <a:stretch>
                      <a:fillRect/>
                    </a:stretch>
                  </pic:blipFill>
                  <pic:spPr>
                    <a:xfrm>
                      <a:off x="0" y="0"/>
                      <a:ext cx="2628900" cy="17240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szCs w:val="22"/>
        </w:rPr>
      </w:pPr>
      <w:r>
        <w:rPr>
          <w:rFonts w:ascii="Times New Roman" w:hAnsi="Times New Roman"/>
          <w:b w:val="0"/>
          <w:bCs/>
          <w:szCs w:val="22"/>
        </w:rPr>
        <w:t>A</w:t>
      </w:r>
      <w:r>
        <w:rPr>
          <w:rFonts w:ascii="Times New Roman" w:hAnsi="Times New Roman" w:hint="eastAsia"/>
          <w:b w:val="0"/>
          <w:bCs/>
          <w:szCs w:val="22"/>
          <w:lang w:val="en-US" w:eastAsia="zh-CN"/>
        </w:rPr>
        <w:t>.</w:t>
      </w:r>
      <w:r>
        <w:rPr>
          <w:rFonts w:ascii="Times New Roman" w:hAnsi="Times New Roman"/>
          <w:b w:val="0"/>
          <w:bCs/>
          <w:szCs w:val="22"/>
        </w:rPr>
        <w:t>a&lt;O</w:t>
      </w:r>
      <w:r>
        <w:rPr>
          <w:rFonts w:ascii="Times New Roman" w:hAnsi="Times New Roman"/>
          <w:b w:val="0"/>
          <w:bCs/>
          <w:szCs w:val="22"/>
          <w:vertAlign w:val="subscript"/>
        </w:rPr>
        <w:t>2</w:t>
      </w:r>
      <w:r>
        <w:rPr>
          <w:rFonts w:ascii="Times New Roman" w:hAnsi="Times New Roman"/>
          <w:b w:val="0"/>
          <w:bCs/>
          <w:szCs w:val="22"/>
        </w:rPr>
        <w:t>浓度＜d时，酵母菌有两种呼吸方式</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color w:val="auto"/>
          <w:szCs w:val="22"/>
        </w:rPr>
      </w:pPr>
      <w:r>
        <w:rPr>
          <w:rFonts w:ascii="Times New Roman" w:hAnsi="Times New Roman"/>
          <w:b w:val="0"/>
          <w:bCs/>
          <w:color w:val="auto"/>
          <w:szCs w:val="22"/>
        </w:rPr>
        <w:t>B</w:t>
      </w:r>
      <w:r>
        <w:rPr>
          <w:rFonts w:ascii="Times New Roman" w:hAnsi="Times New Roman" w:hint="eastAsia"/>
          <w:b w:val="0"/>
          <w:bCs/>
          <w:color w:val="auto"/>
          <w:szCs w:val="22"/>
          <w:lang w:val="en-US" w:eastAsia="zh-CN"/>
        </w:rPr>
        <w:t>.</w:t>
      </w:r>
      <w:r>
        <w:rPr>
          <w:rFonts w:ascii="Times New Roman" w:hAnsi="Times New Roman"/>
          <w:b w:val="0"/>
          <w:bCs/>
          <w:color w:val="auto"/>
          <w:szCs w:val="22"/>
        </w:rPr>
        <w:t>O</w:t>
      </w:r>
      <w:r>
        <w:rPr>
          <w:rFonts w:ascii="Times New Roman" w:hAnsi="Times New Roman"/>
          <w:b w:val="0"/>
          <w:bCs/>
          <w:color w:val="auto"/>
          <w:szCs w:val="22"/>
          <w:vertAlign w:val="subscript"/>
        </w:rPr>
        <w:t>2</w:t>
      </w:r>
      <w:r>
        <w:rPr>
          <w:rFonts w:ascii="Times New Roman" w:hAnsi="Times New Roman"/>
          <w:b w:val="0"/>
          <w:bCs/>
          <w:color w:val="auto"/>
          <w:szCs w:val="22"/>
        </w:rPr>
        <w:t>浓度=b时，有1/2的葡萄糖用于有氧呼吸</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szCs w:val="22"/>
        </w:rPr>
      </w:pPr>
      <w:r>
        <w:rPr>
          <w:rFonts w:ascii="Times New Roman" w:hAnsi="Times New Roman"/>
          <w:b w:val="0"/>
          <w:bCs/>
          <w:szCs w:val="22"/>
        </w:rPr>
        <w:t>C</w:t>
      </w:r>
      <w:r>
        <w:rPr>
          <w:rFonts w:ascii="Times New Roman" w:hAnsi="Times New Roman" w:hint="eastAsia"/>
          <w:b w:val="0"/>
          <w:bCs/>
          <w:szCs w:val="22"/>
          <w:lang w:val="en-US" w:eastAsia="zh-CN"/>
        </w:rPr>
        <w:t>.</w:t>
      </w:r>
      <w:r>
        <w:rPr>
          <w:rFonts w:ascii="Times New Roman" w:hAnsi="Times New Roman"/>
          <w:b w:val="0"/>
          <w:bCs/>
          <w:szCs w:val="22"/>
        </w:rPr>
        <w:t>O</w:t>
      </w:r>
      <w:r>
        <w:rPr>
          <w:rFonts w:ascii="Times New Roman" w:hAnsi="Times New Roman"/>
          <w:b w:val="0"/>
          <w:bCs/>
          <w:szCs w:val="22"/>
          <w:vertAlign w:val="subscript"/>
        </w:rPr>
        <w:t>2</w:t>
      </w:r>
      <w:r>
        <w:rPr>
          <w:rFonts w:ascii="Times New Roman" w:hAnsi="Times New Roman"/>
          <w:b w:val="0"/>
          <w:bCs/>
          <w:szCs w:val="22"/>
        </w:rPr>
        <w:t>浓度=c或d时，葡萄糖分解发生的场所相同</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Times New Roman" w:hAnsi="Times New Roman"/>
          <w:b w:val="0"/>
          <w:bCs/>
          <w:szCs w:val="22"/>
        </w:rPr>
      </w:pPr>
      <w:r>
        <w:rPr>
          <w:rFonts w:ascii="Times New Roman" w:hAnsi="Times New Roman"/>
          <w:b w:val="0"/>
          <w:bCs/>
          <w:szCs w:val="22"/>
        </w:rPr>
        <w:t>D</w:t>
      </w:r>
      <w:r>
        <w:rPr>
          <w:rFonts w:ascii="Times New Roman" w:hAnsi="Times New Roman" w:hint="eastAsia"/>
          <w:b w:val="0"/>
          <w:bCs/>
          <w:szCs w:val="22"/>
          <w:lang w:val="en-US" w:eastAsia="zh-CN"/>
        </w:rPr>
        <w:t>.</w:t>
      </w:r>
      <w:r>
        <w:rPr>
          <w:rFonts w:ascii="Times New Roman" w:hAnsi="Times New Roman"/>
          <w:b w:val="0"/>
          <w:bCs/>
          <w:szCs w:val="22"/>
        </w:rPr>
        <w:t>O</w:t>
      </w:r>
      <w:r>
        <w:rPr>
          <w:rFonts w:ascii="Times New Roman" w:hAnsi="Times New Roman"/>
          <w:b w:val="0"/>
          <w:bCs/>
          <w:szCs w:val="22"/>
          <w:vertAlign w:val="subscript"/>
        </w:rPr>
        <w:t>2</w:t>
      </w:r>
      <w:r>
        <w:rPr>
          <w:rFonts w:ascii="Times New Roman" w:hAnsi="Times New Roman"/>
          <w:b w:val="0"/>
          <w:bCs/>
          <w:szCs w:val="22"/>
        </w:rPr>
        <w:t>浓度=a时，有氧呼吸消耗的葡萄糖少于无氧呼吸</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lang w:val="en-US" w:eastAsia="zh-CN"/>
        </w:rPr>
        <w:t>13.</w:t>
      </w:r>
      <w:r>
        <w:rPr>
          <w:b w:val="0"/>
          <w:bCs/>
        </w:rPr>
        <w:t>高等植物的光合作用依赖光合色素。不同环境条件下，叶绿素a和叶绿素b之间可以相互转化，这种转化称为“叶绿素循环”。研究发现，在适当遮光条件下，叶绿素</w:t>
      </w:r>
      <w:r>
        <w:rPr>
          <w:rFonts w:ascii="Calibri" w:hAnsi="Calibri" w:cs="Calibri" w:hint="default"/>
          <w:b w:val="0"/>
          <w:bCs/>
        </w:rPr>
        <w:t>a</w:t>
      </w:r>
      <w:r>
        <w:rPr>
          <w:rFonts w:ascii="Calibri" w:hAnsi="Calibri" w:cs="Calibri" w:hint="default"/>
          <w:b w:val="0"/>
          <w:bCs/>
          <w:lang w:val="en-US" w:eastAsia="zh-CN"/>
        </w:rPr>
        <w:t>/</w:t>
      </w:r>
      <w:r>
        <w:rPr>
          <w:b w:val="0"/>
          <w:bCs/>
        </w:rPr>
        <w:t>叶绿素b的值会降低，以适应环境。</w:t>
      </w:r>
      <w:r>
        <w:rPr>
          <w:rFonts w:hint="eastAsia"/>
          <w:b w:val="0"/>
          <w:bCs/>
          <w:lang w:val="en-US" w:eastAsia="zh-CN"/>
        </w:rPr>
        <w:t>图示是绿叶中色素</w:t>
      </w:r>
      <w:r>
        <w:rPr>
          <w:b w:val="0"/>
          <w:bCs/>
        </w:rPr>
        <w:t>的吸收光谱。下列关于叶绿素的叙述，正确的是（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drawing>
          <wp:inline distT="0" distB="0" distL="114300" distR="114300">
            <wp:extent cx="2632075" cy="1478915"/>
            <wp:effectExtent l="0" t="0" r="15875" b="6985"/>
            <wp:docPr id="100005" name="图片 1000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450188" name="图片 100005" descr=" "/>
                    <pic:cNvPicPr>
                      <a:picLocks noChangeAspect="1"/>
                    </pic:cNvPicPr>
                  </pic:nvPicPr>
                  <pic:blipFill>
                    <a:blip xmlns:r="http://schemas.openxmlformats.org/officeDocument/2006/relationships" r:embed="rId11"/>
                    <a:stretch>
                      <a:fillRect/>
                    </a:stretch>
                  </pic:blipFill>
                  <pic:spPr>
                    <a:xfrm>
                      <a:off x="0" y="0"/>
                      <a:ext cx="2632075" cy="14789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rPr>
        <w:t>A</w:t>
      </w:r>
      <w:r>
        <w:rPr>
          <w:rFonts w:ascii="Times New Roman" w:hAnsi="Times New Roman" w:cs="Times New Roman" w:hint="eastAsia"/>
          <w:b w:val="0"/>
          <w:bCs/>
          <w:lang w:val="en-US" w:eastAsia="zh-CN"/>
        </w:rPr>
        <w:t>.</w:t>
      </w:r>
      <w:r>
        <w:rPr>
          <w:b w:val="0"/>
          <w:bCs/>
        </w:rPr>
        <w:t>图中</w:t>
      </w:r>
      <w:r>
        <w:rPr>
          <w:rFonts w:ascii="Times New Roman" w:hAnsi="Times New Roman" w:cs="Times New Roman" w:hint="default"/>
          <w:b w:val="0"/>
          <w:bCs/>
        </w:rPr>
        <w:t>②</w:t>
      </w:r>
      <w:r>
        <w:rPr>
          <w:b w:val="0"/>
          <w:bCs/>
        </w:rPr>
        <w:t>和</w:t>
      </w:r>
      <w:r>
        <w:rPr>
          <w:rFonts w:ascii="Times New Roman" w:hAnsi="Times New Roman" w:cs="Times New Roman" w:hint="default"/>
          <w:b w:val="0"/>
          <w:bCs/>
        </w:rPr>
        <w:t>③</w:t>
      </w:r>
      <w:r>
        <w:rPr>
          <w:b w:val="0"/>
          <w:bCs/>
        </w:rPr>
        <w:t>主要分布在叶绿体的内膜上</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rPr>
        <w:t>B</w:t>
      </w:r>
      <w:r>
        <w:rPr>
          <w:rFonts w:ascii="Times New Roman" w:hAnsi="Times New Roman" w:cs="Times New Roman" w:hint="eastAsia"/>
          <w:b w:val="0"/>
          <w:bCs/>
          <w:lang w:val="en-US" w:eastAsia="zh-CN"/>
        </w:rPr>
        <w:t>.</w:t>
      </w:r>
      <w:r>
        <w:rPr>
          <w:b w:val="0"/>
          <w:bCs/>
        </w:rPr>
        <w:t>利用纸层析法分离色素时，</w:t>
      </w:r>
      <w:r>
        <w:rPr>
          <w:rFonts w:ascii="Times New Roman" w:hAnsi="Times New Roman" w:cs="Times New Roman" w:hint="default"/>
          <w:b w:val="0"/>
          <w:bCs/>
        </w:rPr>
        <w:t>③</w:t>
      </w:r>
      <w:r>
        <w:rPr>
          <w:b w:val="0"/>
          <w:bCs/>
        </w:rPr>
        <w:t>应位于滤纸条的最下端</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rPr>
        <w:t>C</w:t>
      </w:r>
      <w:r>
        <w:rPr>
          <w:rFonts w:ascii="Times New Roman" w:hAnsi="Times New Roman" w:cs="Times New Roman" w:hint="eastAsia"/>
          <w:b w:val="0"/>
          <w:bCs/>
          <w:lang w:val="en-US" w:eastAsia="zh-CN"/>
        </w:rPr>
        <w:t>.</w:t>
      </w:r>
      <w:r>
        <w:rPr>
          <w:b w:val="0"/>
          <w:bCs/>
        </w:rPr>
        <w:t>植物叶片呈现绿色是由于</w:t>
      </w:r>
      <w:r>
        <w:rPr>
          <w:rFonts w:ascii="Times New Roman" w:hAnsi="Times New Roman" w:cs="Times New Roman" w:hint="default"/>
          <w:b w:val="0"/>
          <w:bCs/>
        </w:rPr>
        <w:t>②③</w:t>
      </w:r>
      <w:r>
        <w:rPr>
          <w:b w:val="0"/>
          <w:bCs/>
        </w:rPr>
        <w:t>主要吸收绿光</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D</w:t>
      </w:r>
      <w:r>
        <w:rPr>
          <w:rFonts w:ascii="Times New Roman" w:hAnsi="Times New Roman" w:cs="Times New Roman" w:hint="eastAsia"/>
          <w:b w:val="0"/>
          <w:bCs/>
          <w:color w:val="auto"/>
          <w:lang w:val="en-US" w:eastAsia="zh-CN"/>
        </w:rPr>
        <w:t>.</w:t>
      </w:r>
      <w:r>
        <w:rPr>
          <w:b w:val="0"/>
          <w:bCs/>
          <w:color w:val="auto"/>
        </w:rPr>
        <w:t>弱光下</w:t>
      </w:r>
      <w:r>
        <w:rPr>
          <w:rFonts w:ascii="Times New Roman" w:hAnsi="Times New Roman" w:cs="Times New Roman" w:hint="default"/>
          <w:b w:val="0"/>
          <w:bCs/>
          <w:color w:val="auto"/>
        </w:rPr>
        <w:t>②</w:t>
      </w:r>
      <w:r>
        <w:rPr>
          <w:b w:val="0"/>
          <w:bCs/>
          <w:color w:val="auto"/>
        </w:rPr>
        <w:t>的相对含量增高有利于植物对弱光的利用</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lang w:val="en-US" w:eastAsia="zh-CN"/>
        </w:rPr>
        <w:t>14</w:t>
      </w:r>
      <w:r>
        <w:rPr>
          <w:rFonts w:ascii="Times New Roman" w:hAnsi="Times New Roman" w:cs="Times New Roman" w:hint="eastAsia"/>
          <w:b w:val="0"/>
          <w:bCs/>
          <w:lang w:val="en-US" w:eastAsia="zh-CN"/>
        </w:rPr>
        <w:t>.</w:t>
      </w:r>
      <w:r>
        <w:rPr>
          <w:b w:val="0"/>
          <w:bCs/>
        </w:rPr>
        <w:t>研究人员测定某植物某天白天净光合速率的变化，结果如图。下列分析正确的是（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drawing>
          <wp:inline distT="0" distB="0" distL="114300" distR="114300">
            <wp:extent cx="2225675" cy="1709420"/>
            <wp:effectExtent l="0" t="0" r="3175" b="5080"/>
            <wp:docPr id="100008" name="图片 1000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810341" name="图片 100008" descr=" "/>
                    <pic:cNvPicPr>
                      <a:picLocks noChangeAspect="1"/>
                    </pic:cNvPicPr>
                  </pic:nvPicPr>
                  <pic:blipFill>
                    <a:blip xmlns:r="http://schemas.openxmlformats.org/officeDocument/2006/relationships" r:embed="rId12"/>
                    <a:stretch>
                      <a:fillRect/>
                    </a:stretch>
                  </pic:blipFill>
                  <pic:spPr>
                    <a:xfrm>
                      <a:off x="0" y="0"/>
                      <a:ext cx="2225675" cy="17094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rPr>
        <w:t>A</w:t>
      </w:r>
      <w:r>
        <w:rPr>
          <w:rFonts w:ascii="Times New Roman" w:hAnsi="Times New Roman" w:cs="Times New Roman" w:hint="eastAsia"/>
          <w:b w:val="0"/>
          <w:bCs/>
          <w:lang w:val="en-US" w:eastAsia="zh-CN"/>
        </w:rPr>
        <w:t>.</w:t>
      </w:r>
      <w:r>
        <w:rPr>
          <w:b w:val="0"/>
          <w:bCs/>
        </w:rPr>
        <w:t>在6时，叶肉细胞中合成ATP的细胞器只有线粒体</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eastAsia="宋体" w:hint="eastAsia"/>
          <w:b w:val="0"/>
          <w:bCs/>
          <w:color w:val="auto"/>
          <w:lang w:eastAsia="zh-CN"/>
        </w:rPr>
      </w:pPr>
      <w:r>
        <w:rPr>
          <w:rFonts w:ascii="Times New Roman" w:hAnsi="Times New Roman" w:cs="Times New Roman" w:hint="default"/>
          <w:b w:val="0"/>
          <w:bCs/>
          <w:color w:val="auto"/>
        </w:rPr>
        <w:t>B</w:t>
      </w:r>
      <w:r>
        <w:rPr>
          <w:rFonts w:ascii="Times New Roman" w:hAnsi="Times New Roman" w:cs="Times New Roman" w:hint="eastAsia"/>
          <w:b w:val="0"/>
          <w:bCs/>
          <w:color w:val="auto"/>
          <w:lang w:val="en-US" w:eastAsia="zh-CN"/>
        </w:rPr>
        <w:t>.</w:t>
      </w:r>
      <w:r>
        <w:rPr>
          <w:b w:val="0"/>
          <w:bCs/>
          <w:color w:val="auto"/>
        </w:rPr>
        <w:t>11～13时部分气孔关闭，叶绿体中C</w:t>
      </w:r>
      <w:r>
        <w:rPr>
          <w:rFonts w:hint="eastAsia"/>
          <w:b w:val="0"/>
          <w:bCs/>
          <w:color w:val="auto"/>
          <w:vertAlign w:val="subscript"/>
          <w:lang w:val="en-US" w:eastAsia="zh-CN"/>
        </w:rPr>
        <w:t>3</w:t>
      </w:r>
      <w:r>
        <w:rPr>
          <w:b w:val="0"/>
          <w:bCs/>
          <w:color w:val="auto"/>
        </w:rPr>
        <w:t>的含量</w:t>
      </w:r>
      <w:r>
        <w:rPr>
          <w:rFonts w:hint="eastAsia"/>
          <w:b w:val="0"/>
          <w:bCs/>
          <w:color w:val="auto"/>
          <w:lang w:val="en-US" w:eastAsia="zh-CN"/>
        </w:rPr>
        <w:t>减少</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C</w:t>
      </w:r>
      <w:r>
        <w:rPr>
          <w:rFonts w:hint="eastAsia"/>
          <w:b w:val="0"/>
          <w:bCs/>
          <w:color w:val="auto"/>
          <w:lang w:val="en-US" w:eastAsia="zh-CN"/>
        </w:rPr>
        <w:t>.</w:t>
      </w:r>
      <w:r>
        <w:rPr>
          <w:b w:val="0"/>
          <w:bCs/>
          <w:color w:val="auto"/>
        </w:rPr>
        <w:t>一天中，叶肉细胞内有机物积累最多的时刻是15时</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D</w:t>
      </w:r>
      <w:r>
        <w:rPr>
          <w:rFonts w:ascii="Times New Roman" w:hAnsi="Times New Roman" w:cs="Times New Roman" w:hint="eastAsia"/>
          <w:b w:val="0"/>
          <w:bCs/>
          <w:color w:val="auto"/>
          <w:lang w:val="en-US" w:eastAsia="zh-CN"/>
        </w:rPr>
        <w:t>.</w:t>
      </w:r>
      <w:r>
        <w:rPr>
          <w:b w:val="0"/>
          <w:bCs/>
          <w:color w:val="auto"/>
        </w:rPr>
        <w:t>在18时，线粒体内膜产生的CO</w:t>
      </w:r>
      <w:r>
        <w:rPr>
          <w:b w:val="0"/>
          <w:bCs/>
          <w:color w:val="auto"/>
          <w:vertAlign w:val="subscript"/>
        </w:rPr>
        <w:t>2</w:t>
      </w:r>
      <w:r>
        <w:rPr>
          <w:b w:val="0"/>
          <w:bCs/>
          <w:color w:val="auto"/>
        </w:rPr>
        <w:t>全部被叶绿体内的类囊体固定</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lang w:val="en-US" w:eastAsia="zh-CN"/>
        </w:rPr>
        <w:t>15</w:t>
      </w:r>
      <w:r>
        <w:rPr>
          <w:rFonts w:ascii="Times New Roman" w:hAnsi="Times New Roman" w:cs="Times New Roman" w:hint="eastAsia"/>
          <w:b w:val="0"/>
          <w:bCs/>
          <w:color w:val="auto"/>
          <w:lang w:val="en-US" w:eastAsia="zh-CN"/>
        </w:rPr>
        <w:t>.</w:t>
      </w:r>
      <w:r>
        <w:rPr>
          <w:b w:val="0"/>
          <w:bCs/>
          <w:color w:val="auto"/>
        </w:rPr>
        <w:t>下列有关细胞代谢的叙述正确的是（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lang w:val="en-US" w:eastAsia="zh-CN"/>
        </w:rPr>
        <w:t>A</w:t>
      </w:r>
      <w:r>
        <w:rPr>
          <w:rFonts w:ascii="Times New Roman" w:hAnsi="Times New Roman" w:cs="Times New Roman" w:hint="eastAsia"/>
          <w:b w:val="0"/>
          <w:bCs/>
          <w:color w:val="auto"/>
          <w:lang w:val="en-US" w:eastAsia="zh-CN"/>
        </w:rPr>
        <w:t>.</w:t>
      </w:r>
      <w:r>
        <w:rPr>
          <w:b w:val="0"/>
          <w:bCs/>
          <w:color w:val="auto"/>
        </w:rPr>
        <w:t>剧烈运动过程中，人体肌肉细胞产生的CO</w:t>
      </w:r>
      <w:r>
        <w:rPr>
          <w:b w:val="0"/>
          <w:bCs/>
          <w:color w:val="auto"/>
          <w:vertAlign w:val="subscript"/>
        </w:rPr>
        <w:t>2</w:t>
      </w:r>
      <w:r>
        <w:rPr>
          <w:b w:val="0"/>
          <w:bCs/>
          <w:color w:val="auto"/>
        </w:rPr>
        <w:t>等于消耗的O</w:t>
      </w:r>
      <w:r>
        <w:rPr>
          <w:b w:val="0"/>
          <w:bCs/>
          <w:color w:val="auto"/>
          <w:vertAlign w:val="subscript"/>
        </w:rPr>
        <w:t>2</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rPr>
        <w:t>B</w:t>
      </w:r>
      <w:r>
        <w:rPr>
          <w:rFonts w:ascii="Times New Roman" w:hAnsi="Times New Roman" w:cs="Times New Roman" w:hint="eastAsia"/>
          <w:b w:val="0"/>
          <w:bCs/>
          <w:lang w:val="en-US" w:eastAsia="zh-CN"/>
        </w:rPr>
        <w:t>.</w:t>
      </w:r>
      <w:r>
        <w:rPr>
          <w:b w:val="0"/>
          <w:bCs/>
        </w:rPr>
        <w:t>硝化细菌主要从硝酸还原成氨的过程中获取能量</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rPr>
        <w:t>C</w:t>
      </w:r>
      <w:r>
        <w:rPr>
          <w:rFonts w:ascii="Times New Roman" w:hAnsi="Times New Roman" w:cs="Times New Roman" w:hint="eastAsia"/>
          <w:b w:val="0"/>
          <w:bCs/>
          <w:lang w:val="en-US" w:eastAsia="zh-CN"/>
        </w:rPr>
        <w:t>.</w:t>
      </w:r>
      <w:r>
        <w:rPr>
          <w:b w:val="0"/>
          <w:bCs/>
        </w:rPr>
        <w:t>不向外界释放CO</w:t>
      </w:r>
      <w:r>
        <w:rPr>
          <w:b w:val="0"/>
          <w:bCs/>
          <w:vertAlign w:val="subscript"/>
        </w:rPr>
        <w:t>2</w:t>
      </w:r>
      <w:r>
        <w:rPr>
          <w:b w:val="0"/>
          <w:bCs/>
        </w:rPr>
        <w:t>的叶肉细胞，说明细胞没有进行呼吸作用</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lang w:val="en-US" w:eastAsia="zh-CN"/>
        </w:rPr>
        <w:t>D</w:t>
      </w:r>
      <w:r>
        <w:rPr>
          <w:rFonts w:ascii="Times New Roman" w:hAnsi="Times New Roman" w:cs="Times New Roman" w:hint="eastAsia"/>
          <w:b w:val="0"/>
          <w:bCs/>
          <w:lang w:val="en-US" w:eastAsia="zh-CN"/>
        </w:rPr>
        <w:t>.</w:t>
      </w:r>
      <w:r>
        <w:rPr>
          <w:b w:val="0"/>
          <w:bCs/>
        </w:rPr>
        <w:t>单个细胞均能完成各种生命活动</w:t>
      </w:r>
    </w:p>
    <w:p>
      <w:pPr>
        <w:keepNext w:val="0"/>
        <w:keepLines w:val="0"/>
        <w:pageBreakBefore w:val="0"/>
        <w:kinsoku/>
        <w:wordWrap/>
        <w:overflowPunct/>
        <w:topLinePunct w:val="0"/>
        <w:autoSpaceDE/>
        <w:autoSpaceDN/>
        <w:bidi w:val="0"/>
        <w:adjustRightInd/>
        <w:snapToGrid/>
        <w:spacing w:line="288" w:lineRule="auto"/>
        <w:rPr>
          <w:rFonts w:ascii="宋体" w:hint="eastAsia"/>
          <w:b/>
          <w:color w:val="auto"/>
          <w:szCs w:val="21"/>
        </w:rPr>
      </w:pPr>
      <w:r>
        <w:rPr>
          <w:rFonts w:ascii="宋体" w:hint="eastAsia"/>
          <w:b/>
          <w:color w:val="auto"/>
          <w:szCs w:val="21"/>
        </w:rPr>
        <w:t>二、</w:t>
      </w:r>
      <w:r>
        <w:rPr>
          <w:rFonts w:ascii="宋体" w:hint="eastAsia"/>
          <w:b/>
          <w:color w:val="auto"/>
          <w:szCs w:val="21"/>
          <w:lang w:val="en-US" w:eastAsia="zh-CN"/>
        </w:rPr>
        <w:t>多</w:t>
      </w:r>
      <w:r>
        <w:rPr>
          <w:rFonts w:ascii="宋体" w:hint="eastAsia"/>
          <w:b/>
          <w:color w:val="auto"/>
          <w:szCs w:val="21"/>
        </w:rPr>
        <w:t>项选择题：每小题有</w:t>
      </w:r>
      <w:r>
        <w:rPr>
          <w:rFonts w:ascii="宋体" w:hint="eastAsia"/>
          <w:b/>
          <w:color w:val="auto"/>
          <w:szCs w:val="21"/>
          <w:lang w:val="en-US" w:eastAsia="zh-CN"/>
        </w:rPr>
        <w:t>两</w:t>
      </w:r>
      <w:r>
        <w:rPr>
          <w:rFonts w:ascii="宋体" w:hint="eastAsia"/>
          <w:b/>
          <w:color w:val="auto"/>
          <w:szCs w:val="21"/>
        </w:rPr>
        <w:t>个</w:t>
      </w:r>
      <w:r>
        <w:rPr>
          <w:rFonts w:ascii="宋体" w:hint="eastAsia"/>
          <w:b/>
          <w:color w:val="auto"/>
          <w:szCs w:val="21"/>
          <w:lang w:val="en-US" w:eastAsia="zh-CN"/>
        </w:rPr>
        <w:t>或两个以上</w:t>
      </w:r>
      <w:r>
        <w:rPr>
          <w:rFonts w:ascii="宋体" w:hint="eastAsia"/>
          <w:b/>
          <w:color w:val="auto"/>
          <w:szCs w:val="21"/>
        </w:rPr>
        <w:t>选项符合题目要求（本部分包括5个小题，每小题</w:t>
      </w:r>
      <w:r>
        <w:rPr>
          <w:rFonts w:ascii="宋体" w:hint="eastAsia"/>
          <w:b/>
          <w:color w:val="auto"/>
          <w:szCs w:val="21"/>
          <w:lang w:val="en-US" w:eastAsia="zh-CN"/>
        </w:rPr>
        <w:t>4</w:t>
      </w:r>
      <w:r>
        <w:rPr>
          <w:rFonts w:ascii="宋体" w:hint="eastAsia"/>
          <w:b/>
          <w:color w:val="auto"/>
          <w:szCs w:val="21"/>
        </w:rPr>
        <w:t>分，错选不得分，少选得1分，共</w:t>
      </w:r>
      <w:r>
        <w:rPr>
          <w:rFonts w:ascii="宋体" w:hint="eastAsia"/>
          <w:b/>
          <w:color w:val="auto"/>
          <w:szCs w:val="21"/>
          <w:lang w:val="en-US" w:eastAsia="zh-CN"/>
        </w:rPr>
        <w:t>20</w:t>
      </w:r>
      <w:r>
        <w:rPr>
          <w:rFonts w:ascii="宋体" w:hint="eastAsia"/>
          <w:b/>
          <w:color w:val="auto"/>
          <w:szCs w:val="21"/>
        </w:rPr>
        <w:t>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lang w:val="en-US" w:eastAsia="zh-CN"/>
        </w:rPr>
        <w:t>1</w:t>
      </w:r>
      <w:r>
        <w:rPr>
          <w:rFonts w:ascii="Times New Roman" w:hAnsi="Times New Roman" w:cs="Times New Roman" w:hint="eastAsia"/>
          <w:b w:val="0"/>
          <w:bCs/>
          <w:lang w:val="en-US" w:eastAsia="zh-CN"/>
        </w:rPr>
        <w:t>6.</w:t>
      </w:r>
      <w:r>
        <w:rPr>
          <w:b w:val="0"/>
          <w:bCs/>
        </w:rPr>
        <w:t>生物膜系统在细胞生命活动中发挥着重要作用。对图中三种生物膜结构及功能的叙述，正确的是（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drawing>
          <wp:inline distT="0" distB="0" distL="114300" distR="114300">
            <wp:extent cx="5188585" cy="1697990"/>
            <wp:effectExtent l="0" t="0" r="12065" b="16510"/>
            <wp:docPr id="100010" name="图片 1000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315385" name="图片 100010" descr=" "/>
                    <pic:cNvPicPr>
                      <a:picLocks noChangeAspect="1"/>
                    </pic:cNvPicPr>
                  </pic:nvPicPr>
                  <pic:blipFill>
                    <a:blip xmlns:r="http://schemas.openxmlformats.org/officeDocument/2006/relationships" r:embed="rId13"/>
                    <a:stretch>
                      <a:fillRect/>
                    </a:stretch>
                  </pic:blipFill>
                  <pic:spPr>
                    <a:xfrm>
                      <a:off x="0" y="0"/>
                      <a:ext cx="5188585" cy="16979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A</w:t>
      </w:r>
      <w:r>
        <w:rPr>
          <w:rFonts w:ascii="Times New Roman" w:hAnsi="Times New Roman" w:cs="Times New Roman" w:hint="eastAsia"/>
          <w:b w:val="0"/>
          <w:bCs/>
          <w:color w:val="auto"/>
          <w:lang w:val="en-US" w:eastAsia="zh-CN"/>
        </w:rPr>
        <w:t>.</w:t>
      </w:r>
      <w:r>
        <w:rPr>
          <w:b w:val="0"/>
          <w:bCs/>
          <w:color w:val="auto"/>
        </w:rPr>
        <w:t>图1表示线粒体内膜进行有氧呼吸部分过程，ATP的合成依赖于H</w:t>
      </w:r>
      <w:r>
        <w:rPr>
          <w:b w:val="0"/>
          <w:bCs/>
          <w:color w:val="auto"/>
          <w:vertAlign w:val="superscript"/>
        </w:rPr>
        <w:t>+</w:t>
      </w:r>
      <w:r>
        <w:rPr>
          <w:b w:val="0"/>
          <w:bCs/>
          <w:color w:val="auto"/>
        </w:rPr>
        <w:t>梯度</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B</w:t>
      </w:r>
      <w:r>
        <w:rPr>
          <w:rFonts w:ascii="Times New Roman" w:hAnsi="Times New Roman" w:cs="Times New Roman" w:hint="eastAsia"/>
          <w:b w:val="0"/>
          <w:bCs/>
          <w:color w:val="auto"/>
          <w:lang w:val="en-US" w:eastAsia="zh-CN"/>
        </w:rPr>
        <w:t>.</w:t>
      </w:r>
      <w:r>
        <w:rPr>
          <w:b w:val="0"/>
          <w:bCs/>
          <w:color w:val="auto"/>
        </w:rPr>
        <w:t>图2表示细胞膜进行信息交流部分过程，受体蛋白接受信号分子刺激会使细胞原有生理活动发生变化</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C</w:t>
      </w:r>
      <w:r>
        <w:rPr>
          <w:rFonts w:ascii="Times New Roman" w:hAnsi="Times New Roman" w:cs="Times New Roman" w:hint="eastAsia"/>
          <w:b w:val="0"/>
          <w:bCs/>
          <w:color w:val="auto"/>
          <w:lang w:val="en-US" w:eastAsia="zh-CN"/>
        </w:rPr>
        <w:t>.</w:t>
      </w:r>
      <w:r>
        <w:rPr>
          <w:b w:val="0"/>
          <w:bCs/>
          <w:color w:val="auto"/>
        </w:rPr>
        <w:t>图3表示叶绿体类囊体薄膜上进行的光反应，ATP可用于暗反应中二氧化碳的固定和还原</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D</w:t>
      </w:r>
      <w:r>
        <w:rPr>
          <w:rFonts w:ascii="Times New Roman" w:hAnsi="Times New Roman" w:cs="Times New Roman" w:hint="eastAsia"/>
          <w:b w:val="0"/>
          <w:bCs/>
          <w:color w:val="auto"/>
          <w:lang w:val="en-US" w:eastAsia="zh-CN"/>
        </w:rPr>
        <w:t>.</w:t>
      </w:r>
      <w:r>
        <w:rPr>
          <w:b w:val="0"/>
          <w:bCs/>
          <w:color w:val="auto"/>
        </w:rPr>
        <w:t>三种生物膜的功能不同，主要原因是膜蛋白的种类和数量不同</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eastAsia"/>
          <w:b w:val="0"/>
          <w:bCs/>
          <w:lang w:val="en-US" w:eastAsia="zh-CN"/>
        </w:rPr>
        <w:t>17.</w:t>
      </w:r>
      <w:r>
        <w:rPr>
          <w:b w:val="0"/>
          <w:bCs/>
        </w:rPr>
        <w:t>现有两个取自同一个紫色洋葱鳞片叶外表皮的大小相同、生理状态相似的成熟细胞，将它们分别浸没在甲、乙两种溶液中，测得液泡直径的变化情况如图所示。下列有关叙述错误的是    （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drawing>
          <wp:inline distT="0" distB="0" distL="114300" distR="114300">
            <wp:extent cx="2181225" cy="1170305"/>
            <wp:effectExtent l="0" t="0" r="9525" b="10795"/>
            <wp:docPr id="11901469" name="图片 1000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122363" name="图片 100017" descr=" "/>
                    <pic:cNvPicPr>
                      <a:picLocks noChangeAspect="1"/>
                    </pic:cNvPicPr>
                  </pic:nvPicPr>
                  <pic:blipFill>
                    <a:blip xmlns:r="http://schemas.openxmlformats.org/officeDocument/2006/relationships" r:embed="rId14"/>
                    <a:stretch>
                      <a:fillRect/>
                    </a:stretch>
                  </pic:blipFill>
                  <pic:spPr>
                    <a:xfrm>
                      <a:off x="0" y="0"/>
                      <a:ext cx="2181225" cy="11703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A</w:t>
      </w:r>
      <w:r>
        <w:rPr>
          <w:rFonts w:ascii="Times New Roman" w:hAnsi="Times New Roman" w:cs="Times New Roman" w:hint="eastAsia"/>
          <w:b w:val="0"/>
          <w:bCs/>
          <w:color w:val="auto"/>
          <w:lang w:val="en-US" w:eastAsia="zh-CN"/>
        </w:rPr>
        <w:t>.</w:t>
      </w:r>
      <w:r>
        <w:rPr>
          <w:b w:val="0"/>
          <w:bCs/>
          <w:color w:val="auto"/>
        </w:rPr>
        <w:t>由曲线变化可知乙溶液的浓度比甲溶液大</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B</w:t>
      </w:r>
      <w:r>
        <w:rPr>
          <w:rFonts w:hint="eastAsia"/>
          <w:b w:val="0"/>
          <w:bCs/>
          <w:color w:val="auto"/>
          <w:lang w:val="en-US" w:eastAsia="zh-CN"/>
        </w:rPr>
        <w:t>.</w:t>
      </w:r>
      <w:r>
        <w:rPr>
          <w:b w:val="0"/>
          <w:bCs/>
          <w:color w:val="auto"/>
        </w:rPr>
        <w:t>2 min时，甲、乙溶液中细胞的细胞液浓度均高于初始值</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C</w:t>
      </w:r>
      <w:r>
        <w:rPr>
          <w:rFonts w:hint="eastAsia"/>
          <w:b w:val="0"/>
          <w:bCs/>
          <w:color w:val="auto"/>
          <w:lang w:val="en-US" w:eastAsia="zh-CN"/>
        </w:rPr>
        <w:t>.</w:t>
      </w:r>
      <w:r>
        <w:rPr>
          <w:b w:val="0"/>
          <w:bCs/>
          <w:color w:val="auto"/>
        </w:rPr>
        <w:t>10 min时，取出两个细胞并置于清水中，都能观察到质壁分离复原的现象</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D</w:t>
      </w:r>
      <w:r>
        <w:rPr>
          <w:rFonts w:hint="eastAsia"/>
          <w:b w:val="0"/>
          <w:bCs/>
          <w:color w:val="auto"/>
          <w:lang w:val="en-US" w:eastAsia="zh-CN"/>
        </w:rPr>
        <w:t>.</w:t>
      </w:r>
      <w:r>
        <w:rPr>
          <w:b w:val="0"/>
          <w:bCs/>
          <w:color w:val="auto"/>
        </w:rPr>
        <w:t>本实验若选用紫色洋葱鳞片叶内表皮细胞为材料，则现象更明显</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color w:val="auto"/>
        </w:rPr>
        <w:t>1</w:t>
      </w:r>
      <w:r>
        <w:rPr>
          <w:rFonts w:ascii="Times New Roman" w:hAnsi="Times New Roman" w:cs="Times New Roman" w:hint="eastAsia"/>
          <w:b w:val="0"/>
          <w:bCs/>
          <w:color w:val="auto"/>
          <w:lang w:val="en-US" w:eastAsia="zh-CN"/>
        </w:rPr>
        <w:t>8.</w:t>
      </w:r>
      <w:r>
        <w:rPr>
          <w:b w:val="0"/>
          <w:bCs/>
        </w:rPr>
        <w:t>为寻找啤酒发酵的优良原料，某科研小组分别称取等量小麦、谷子、绿豆三种未萌发种子和萌发种子，研磨后制备的酶提取液分别与1</w:t>
      </w:r>
      <w:r>
        <w:rPr>
          <w:rFonts w:hint="eastAsia"/>
          <w:b w:val="0"/>
          <w:bCs/>
          <w:lang w:val="en-US" w:eastAsia="zh-CN"/>
        </w:rPr>
        <w:t>ml</w:t>
      </w:r>
      <w:r>
        <w:rPr>
          <w:b w:val="0"/>
          <w:bCs/>
        </w:rPr>
        <w:t>质量分数为1%的淀粉溶液混合，25 ℃保温5 min后，立即将试管放入沸水浴中保温5 min。测定各试管中还原糖的含量，比较不同种子萌发前后淀粉酶的活性，其实验结果如下。</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4271"/>
        <w:gridCol w:w="1340"/>
        <w:gridCol w:w="1340"/>
        <w:gridCol w:w="1340"/>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30"/>
        </w:trPr>
        <w:tc>
          <w:tcPr>
            <w:tcW w:w="255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名　　称</w:t>
            </w:r>
          </w:p>
        </w:tc>
        <w:tc>
          <w:tcPr>
            <w:tcW w:w="80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小麦</w:t>
            </w:r>
          </w:p>
        </w:tc>
        <w:tc>
          <w:tcPr>
            <w:tcW w:w="80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谷子</w:t>
            </w:r>
          </w:p>
        </w:tc>
        <w:tc>
          <w:tcPr>
            <w:tcW w:w="80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绿豆</w:t>
            </w:r>
          </w:p>
        </w:tc>
      </w:tr>
      <w:tr>
        <w:tblPrEx>
          <w:tblW w:w="5000" w:type="pct"/>
          <w:tblInd w:w="0" w:type="dxa"/>
          <w:tblCellMar>
            <w:top w:w="120" w:type="dxa"/>
            <w:left w:w="120" w:type="dxa"/>
            <w:bottom w:w="120" w:type="dxa"/>
            <w:right w:w="120" w:type="dxa"/>
          </w:tblCellMar>
        </w:tblPrEx>
        <w:trPr>
          <w:trHeight w:val="330"/>
        </w:trPr>
        <w:tc>
          <w:tcPr>
            <w:tcW w:w="255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未萌发种子的淀粉酶活性/U·g</w:t>
            </w:r>
            <w:r>
              <w:rPr>
                <w:b w:val="0"/>
                <w:bCs/>
                <w:vertAlign w:val="superscript"/>
              </w:rPr>
              <w:t>－1</w:t>
            </w:r>
          </w:p>
        </w:tc>
        <w:tc>
          <w:tcPr>
            <w:tcW w:w="80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rFonts w:ascii="Times New Roman" w:hAnsi="Times New Roman" w:cs="Times New Roman" w:hint="default"/>
                <w:b w:val="0"/>
                <w:bCs/>
              </w:rPr>
            </w:pPr>
            <w:r>
              <w:rPr>
                <w:rFonts w:ascii="Times New Roman" w:hAnsi="Times New Roman" w:cs="Times New Roman" w:hint="default"/>
                <w:b w:val="0"/>
                <w:bCs/>
              </w:rPr>
              <w:t>0</w:t>
            </w:r>
            <w:r>
              <w:rPr>
                <w:rFonts w:ascii="Times New Roman" w:hAnsi="Times New Roman" w:cs="Times New Roman" w:hint="default"/>
                <w:b w:val="0"/>
                <w:bCs/>
                <w:lang w:val="en-US" w:eastAsia="zh-CN"/>
              </w:rPr>
              <w:t>.</w:t>
            </w:r>
            <w:r>
              <w:rPr>
                <w:rFonts w:ascii="Times New Roman" w:hAnsi="Times New Roman" w:cs="Times New Roman" w:hint="default"/>
                <w:b w:val="0"/>
                <w:bCs/>
              </w:rPr>
              <w:t>0289</w:t>
            </w:r>
          </w:p>
        </w:tc>
        <w:tc>
          <w:tcPr>
            <w:tcW w:w="80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rFonts w:ascii="Times New Roman" w:hAnsi="Times New Roman" w:cs="Times New Roman" w:hint="default"/>
                <w:b w:val="0"/>
                <w:bCs/>
              </w:rPr>
            </w:pPr>
            <w:r>
              <w:rPr>
                <w:rFonts w:ascii="Times New Roman" w:hAnsi="Times New Roman" w:cs="Times New Roman" w:hint="default"/>
                <w:b w:val="0"/>
                <w:bCs/>
              </w:rPr>
              <w:t>0</w:t>
            </w:r>
            <w:r>
              <w:rPr>
                <w:rFonts w:ascii="Times New Roman" w:hAnsi="Times New Roman" w:cs="Times New Roman" w:hint="default"/>
                <w:b w:val="0"/>
                <w:bCs/>
                <w:lang w:val="en-US" w:eastAsia="zh-CN"/>
              </w:rPr>
              <w:t>.</w:t>
            </w:r>
            <w:r>
              <w:rPr>
                <w:rFonts w:ascii="Times New Roman" w:hAnsi="Times New Roman" w:cs="Times New Roman" w:hint="default"/>
                <w:b w:val="0"/>
                <w:bCs/>
              </w:rPr>
              <w:t>0094</w:t>
            </w:r>
          </w:p>
        </w:tc>
        <w:tc>
          <w:tcPr>
            <w:tcW w:w="80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rFonts w:ascii="Times New Roman" w:hAnsi="Times New Roman" w:cs="Times New Roman" w:hint="default"/>
                <w:b w:val="0"/>
                <w:bCs/>
              </w:rPr>
            </w:pPr>
            <w:r>
              <w:rPr>
                <w:rFonts w:ascii="Times New Roman" w:hAnsi="Times New Roman" w:cs="Times New Roman" w:hint="default"/>
                <w:b w:val="0"/>
                <w:bCs/>
              </w:rPr>
              <w:t>0</w:t>
            </w:r>
            <w:r>
              <w:rPr>
                <w:rFonts w:ascii="Times New Roman" w:hAnsi="Times New Roman" w:cs="Times New Roman" w:hint="default"/>
                <w:b w:val="0"/>
                <w:bCs/>
                <w:lang w:val="en-US" w:eastAsia="zh-CN"/>
              </w:rPr>
              <w:t>.</w:t>
            </w:r>
            <w:r>
              <w:rPr>
                <w:rFonts w:ascii="Times New Roman" w:hAnsi="Times New Roman" w:cs="Times New Roman" w:hint="default"/>
                <w:b w:val="0"/>
                <w:bCs/>
              </w:rPr>
              <w:t>0074</w:t>
            </w:r>
          </w:p>
        </w:tc>
      </w:tr>
      <w:tr>
        <w:tblPrEx>
          <w:tblW w:w="5000" w:type="pct"/>
          <w:tblInd w:w="0" w:type="dxa"/>
          <w:tblCellMar>
            <w:top w:w="120" w:type="dxa"/>
            <w:left w:w="120" w:type="dxa"/>
            <w:bottom w:w="120" w:type="dxa"/>
            <w:right w:w="120" w:type="dxa"/>
          </w:tblCellMar>
        </w:tblPrEx>
        <w:trPr>
          <w:trHeight w:val="330"/>
        </w:trPr>
        <w:tc>
          <w:tcPr>
            <w:tcW w:w="255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萌发种子的淀粉酶活性/U·g</w:t>
            </w:r>
            <w:r>
              <w:rPr>
                <w:b w:val="0"/>
                <w:bCs/>
                <w:vertAlign w:val="superscript"/>
              </w:rPr>
              <w:t>－1</w:t>
            </w:r>
          </w:p>
        </w:tc>
        <w:tc>
          <w:tcPr>
            <w:tcW w:w="80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rFonts w:ascii="Times New Roman" w:eastAsia="宋体" w:hAnsi="Times New Roman" w:cs="Times New Roman" w:hint="default"/>
                <w:b w:val="0"/>
                <w:bCs/>
                <w:lang w:val="en-US" w:eastAsia="zh-CN"/>
              </w:rPr>
            </w:pPr>
            <w:r>
              <w:rPr>
                <w:rFonts w:ascii="Times New Roman" w:hAnsi="Times New Roman" w:cs="Times New Roman" w:hint="default"/>
                <w:b w:val="0"/>
                <w:bCs/>
              </w:rPr>
              <w:t>5</w:t>
            </w:r>
            <w:r>
              <w:rPr>
                <w:rFonts w:ascii="Times New Roman" w:hAnsi="Times New Roman" w:cs="Times New Roman" w:hint="default"/>
                <w:b w:val="0"/>
                <w:bCs/>
                <w:lang w:val="en-US" w:eastAsia="zh-CN"/>
              </w:rPr>
              <w:t>.0013</w:t>
            </w:r>
          </w:p>
        </w:tc>
        <w:tc>
          <w:tcPr>
            <w:tcW w:w="80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rFonts w:ascii="Times New Roman" w:hAnsi="Times New Roman" w:cs="Times New Roman" w:hint="default"/>
                <w:b w:val="0"/>
                <w:bCs/>
              </w:rPr>
            </w:pPr>
            <w:r>
              <w:rPr>
                <w:rFonts w:ascii="Times New Roman" w:hAnsi="Times New Roman" w:cs="Times New Roman" w:hint="default"/>
                <w:b w:val="0"/>
                <w:bCs/>
              </w:rPr>
              <w:t>1</w:t>
            </w:r>
            <w:r>
              <w:rPr>
                <w:rFonts w:ascii="Times New Roman" w:hAnsi="Times New Roman" w:cs="Times New Roman" w:hint="default"/>
                <w:b w:val="0"/>
                <w:bCs/>
                <w:lang w:val="en-US" w:eastAsia="zh-CN"/>
              </w:rPr>
              <w:t>.</w:t>
            </w:r>
            <w:r>
              <w:rPr>
                <w:rFonts w:ascii="Times New Roman" w:hAnsi="Times New Roman" w:cs="Times New Roman" w:hint="default"/>
                <w:b w:val="0"/>
                <w:bCs/>
              </w:rPr>
              <w:t>7645</w:t>
            </w:r>
          </w:p>
        </w:tc>
        <w:tc>
          <w:tcPr>
            <w:tcW w:w="800" w:type="pc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rFonts w:ascii="Times New Roman" w:hAnsi="Times New Roman" w:cs="Times New Roman" w:hint="default"/>
                <w:b w:val="0"/>
                <w:bCs/>
              </w:rPr>
            </w:pPr>
            <w:r>
              <w:rPr>
                <w:rFonts w:ascii="Times New Roman" w:hAnsi="Times New Roman" w:cs="Times New Roman" w:hint="default"/>
                <w:b w:val="0"/>
                <w:bCs/>
              </w:rPr>
              <w:t>0</w:t>
            </w:r>
            <w:r>
              <w:rPr>
                <w:rFonts w:ascii="Times New Roman" w:hAnsi="Times New Roman" w:cs="Times New Roman" w:hint="default"/>
                <w:b w:val="0"/>
                <w:bCs/>
                <w:lang w:val="en-US" w:eastAsia="zh-CN"/>
              </w:rPr>
              <w:t>.</w:t>
            </w:r>
            <w:r>
              <w:rPr>
                <w:rFonts w:ascii="Times New Roman" w:hAnsi="Times New Roman" w:cs="Times New Roman" w:hint="default"/>
                <w:b w:val="0"/>
                <w:bCs/>
              </w:rPr>
              <w:t>0395</w:t>
            </w:r>
          </w:p>
        </w:tc>
      </w:tr>
    </w:tbl>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t>根据上述实验，下列叙述</w:t>
      </w:r>
      <w:r>
        <w:rPr>
          <w:rFonts w:hint="eastAsia"/>
          <w:b w:val="0"/>
          <w:bCs/>
          <w:lang w:val="en-US" w:eastAsia="zh-CN"/>
        </w:rPr>
        <w:t>不</w:t>
      </w:r>
      <w:r>
        <w:rPr>
          <w:b w:val="0"/>
          <w:bCs/>
        </w:rPr>
        <w:t>正确的是（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A</w:t>
      </w:r>
      <w:r>
        <w:rPr>
          <w:rFonts w:ascii="Times New Roman" w:hAnsi="Times New Roman" w:cs="Times New Roman" w:hint="eastAsia"/>
          <w:b w:val="0"/>
          <w:bCs/>
          <w:color w:val="auto"/>
          <w:lang w:val="en-US" w:eastAsia="zh-CN"/>
        </w:rPr>
        <w:t>.</w:t>
      </w:r>
      <w:r>
        <w:rPr>
          <w:b w:val="0"/>
          <w:bCs/>
          <w:color w:val="auto"/>
        </w:rPr>
        <w:t>制备酶提取液过程中加入石英砂可使研磨更充分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B</w:t>
      </w:r>
      <w:r>
        <w:rPr>
          <w:rFonts w:ascii="Times New Roman" w:hAnsi="Times New Roman" w:cs="Times New Roman" w:hint="eastAsia"/>
          <w:b w:val="0"/>
          <w:bCs/>
          <w:color w:val="auto"/>
          <w:lang w:val="en-US" w:eastAsia="zh-CN"/>
        </w:rPr>
        <w:t>.</w:t>
      </w:r>
      <w:r>
        <w:rPr>
          <w:b w:val="0"/>
          <w:bCs/>
          <w:color w:val="auto"/>
        </w:rPr>
        <w:t>研磨后需用3支试管收集制备好的酶提取液</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C</w:t>
      </w:r>
      <w:r>
        <w:rPr>
          <w:rFonts w:ascii="Times New Roman" w:hAnsi="Times New Roman" w:cs="Times New Roman" w:hint="eastAsia"/>
          <w:b w:val="0"/>
          <w:bCs/>
          <w:color w:val="auto"/>
          <w:lang w:val="en-US" w:eastAsia="zh-CN"/>
        </w:rPr>
        <w:t>.</w:t>
      </w:r>
      <w:r>
        <w:rPr>
          <w:b w:val="0"/>
          <w:bCs/>
          <w:color w:val="auto"/>
        </w:rPr>
        <w:t>将试管在沸水浴中保温的目的是使酶快速失活</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D</w:t>
      </w:r>
      <w:r>
        <w:rPr>
          <w:rFonts w:ascii="Times New Roman" w:hAnsi="Times New Roman" w:cs="Times New Roman" w:hint="eastAsia"/>
          <w:b w:val="0"/>
          <w:bCs/>
          <w:color w:val="auto"/>
          <w:lang w:val="en-US" w:eastAsia="zh-CN"/>
        </w:rPr>
        <w:t>.</w:t>
      </w:r>
      <w:r>
        <w:rPr>
          <w:b w:val="0"/>
          <w:bCs/>
          <w:color w:val="auto"/>
        </w:rPr>
        <w:t>未萌发的绿豆种子可作为啤酒发酵的优良原料</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eastAsia"/>
          <w:b w:val="0"/>
          <w:bCs/>
          <w:color w:val="auto"/>
          <w:lang w:val="en-US" w:eastAsia="zh-CN"/>
        </w:rPr>
        <w:t>19.</w:t>
      </w:r>
      <w:r>
        <w:rPr>
          <w:b w:val="0"/>
          <w:bCs/>
          <w:color w:val="auto"/>
        </w:rPr>
        <w:t>下列相关叙述正确的是（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A</w:t>
      </w:r>
      <w:r>
        <w:rPr>
          <w:rFonts w:ascii="Times New Roman" w:hAnsi="Times New Roman" w:cs="Times New Roman" w:hint="eastAsia"/>
          <w:b w:val="0"/>
          <w:bCs/>
          <w:color w:val="auto"/>
          <w:lang w:val="en-US" w:eastAsia="zh-CN"/>
        </w:rPr>
        <w:t>.</w:t>
      </w:r>
      <w:r>
        <w:rPr>
          <w:b w:val="0"/>
          <w:bCs/>
          <w:color w:val="auto"/>
        </w:rPr>
        <w:t>光合作用过程中，既有[H]的产生，又有[H]的消耗</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B</w:t>
      </w:r>
      <w:r>
        <w:rPr>
          <w:rFonts w:hint="eastAsia"/>
          <w:b w:val="0"/>
          <w:bCs/>
          <w:color w:val="auto"/>
          <w:lang w:val="en-US" w:eastAsia="zh-CN"/>
        </w:rPr>
        <w:t>.</w:t>
      </w:r>
      <w:r>
        <w:rPr>
          <w:b w:val="0"/>
          <w:bCs/>
          <w:color w:val="auto"/>
        </w:rPr>
        <w:t>叶绿体捕获的光能主要用于CO</w:t>
      </w:r>
      <w:r>
        <w:rPr>
          <w:b w:val="0"/>
          <w:bCs/>
          <w:color w:val="auto"/>
          <w:vertAlign w:val="subscript"/>
        </w:rPr>
        <w:t>2</w:t>
      </w:r>
      <w:r>
        <w:rPr>
          <w:b w:val="0"/>
          <w:bCs/>
          <w:color w:val="auto"/>
        </w:rPr>
        <w:t>与C</w:t>
      </w:r>
      <w:r>
        <w:rPr>
          <w:b w:val="0"/>
          <w:bCs/>
          <w:color w:val="auto"/>
          <w:vertAlign w:val="subscript"/>
        </w:rPr>
        <w:t>5</w:t>
      </w:r>
      <w:r>
        <w:rPr>
          <w:b w:val="0"/>
          <w:bCs/>
          <w:color w:val="auto"/>
        </w:rPr>
        <w:t>反应这一步骤</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C</w:t>
      </w:r>
      <w:r>
        <w:rPr>
          <w:rFonts w:ascii="Times New Roman" w:hAnsi="Times New Roman" w:cs="Times New Roman" w:hint="eastAsia"/>
          <w:b w:val="0"/>
          <w:bCs/>
          <w:color w:val="auto"/>
          <w:lang w:val="en-US" w:eastAsia="zh-CN"/>
        </w:rPr>
        <w:t>.</w:t>
      </w:r>
      <w:r>
        <w:rPr>
          <w:b w:val="0"/>
          <w:bCs/>
          <w:color w:val="auto"/>
        </w:rPr>
        <w:t>用</w:t>
      </w:r>
      <w:r>
        <w:rPr>
          <w:b w:val="0"/>
          <w:bCs/>
          <w:color w:val="auto"/>
          <w:vertAlign w:val="superscript"/>
        </w:rPr>
        <w:t>14</w:t>
      </w:r>
      <w:r>
        <w:rPr>
          <w:b w:val="0"/>
          <w:bCs/>
          <w:color w:val="auto"/>
        </w:rPr>
        <w:t>C标记的CO</w:t>
      </w:r>
      <w:r>
        <w:rPr>
          <w:b w:val="0"/>
          <w:bCs/>
          <w:color w:val="auto"/>
          <w:vertAlign w:val="subscript"/>
        </w:rPr>
        <w:t>2</w:t>
      </w:r>
      <w:r>
        <w:rPr>
          <w:b w:val="0"/>
          <w:bCs/>
          <w:color w:val="auto"/>
        </w:rPr>
        <w:t>作为碳源，放射性</w:t>
      </w:r>
      <w:r>
        <w:rPr>
          <w:rFonts w:hint="eastAsia"/>
          <w:b w:val="0"/>
          <w:bCs/>
          <w:color w:val="auto"/>
          <w:lang w:val="en-US" w:eastAsia="zh-CN"/>
        </w:rPr>
        <w:t>会</w:t>
      </w:r>
      <w:r>
        <w:rPr>
          <w:b w:val="0"/>
          <w:bCs/>
          <w:color w:val="auto"/>
        </w:rPr>
        <w:t>在C</w:t>
      </w:r>
      <w:r>
        <w:rPr>
          <w:b w:val="0"/>
          <w:bCs/>
          <w:color w:val="auto"/>
          <w:vertAlign w:val="subscript"/>
        </w:rPr>
        <w:t>3</w:t>
      </w:r>
      <w:r>
        <w:rPr>
          <w:b w:val="0"/>
          <w:bCs/>
          <w:color w:val="auto"/>
        </w:rPr>
        <w:t>中出现</w:t>
      </w:r>
    </w:p>
    <w:p>
      <w:pPr>
        <w:keepNext w:val="0"/>
        <w:keepLines w:val="0"/>
        <w:pageBreakBefore w:val="0"/>
        <w:widowControl w:val="0"/>
        <w:kinsoku/>
        <w:wordWrap/>
        <w:overflowPunct/>
        <w:topLinePunct w:val="0"/>
        <w:autoSpaceDE/>
        <w:autoSpaceDN/>
        <w:bidi w:val="0"/>
        <w:adjustRightInd/>
        <w:snapToGrid/>
        <w:spacing w:line="288" w:lineRule="auto"/>
        <w:rPr>
          <w:b w:val="0"/>
          <w:bCs/>
          <w:color w:val="auto"/>
        </w:rPr>
      </w:pPr>
      <w:r>
        <w:rPr>
          <w:rFonts w:ascii="Times New Roman" w:hAnsi="Times New Roman" w:cs="Times New Roman" w:hint="default"/>
          <w:b w:val="0"/>
          <w:bCs/>
          <w:color w:val="auto"/>
        </w:rPr>
        <w:t>D</w:t>
      </w:r>
      <w:r>
        <w:rPr>
          <w:rFonts w:hint="eastAsia"/>
          <w:b w:val="0"/>
          <w:bCs/>
          <w:color w:val="auto"/>
          <w:lang w:val="en-US" w:eastAsia="zh-CN"/>
        </w:rPr>
        <w:t>.</w:t>
      </w:r>
      <w:r>
        <w:rPr>
          <w:b w:val="0"/>
          <w:bCs/>
          <w:color w:val="auto"/>
        </w:rPr>
        <w:t>用</w:t>
      </w:r>
      <w:r>
        <w:rPr>
          <w:b w:val="0"/>
          <w:bCs/>
          <w:color w:val="auto"/>
          <w:vertAlign w:val="superscript"/>
        </w:rPr>
        <w:t>18</w:t>
      </w:r>
      <w:r>
        <w:rPr>
          <w:b w:val="0"/>
          <w:bCs/>
          <w:color w:val="auto"/>
        </w:rPr>
        <w:t>O标记H</w:t>
      </w:r>
      <w:r>
        <w:rPr>
          <w:b w:val="0"/>
          <w:bCs/>
          <w:color w:val="auto"/>
          <w:vertAlign w:val="subscript"/>
        </w:rPr>
        <w:t>2</w:t>
      </w:r>
      <w:r>
        <w:rPr>
          <w:b w:val="0"/>
          <w:bCs/>
          <w:color w:val="auto"/>
        </w:rPr>
        <w:t>O，</w:t>
      </w:r>
      <w:r>
        <w:rPr>
          <w:b w:val="0"/>
          <w:bCs/>
          <w:color w:val="auto"/>
          <w:vertAlign w:val="superscript"/>
        </w:rPr>
        <w:t>18</w:t>
      </w:r>
      <w:r>
        <w:rPr>
          <w:b w:val="0"/>
          <w:bCs/>
          <w:color w:val="auto"/>
        </w:rPr>
        <w:t>O仅会出现在O</w:t>
      </w:r>
      <w:r>
        <w:rPr>
          <w:b w:val="0"/>
          <w:bCs/>
          <w:color w:val="auto"/>
          <w:vertAlign w:val="subscript"/>
        </w:rPr>
        <w:t>2</w:t>
      </w:r>
      <w:r>
        <w:rPr>
          <w:b w:val="0"/>
          <w:bCs/>
          <w:color w:val="auto"/>
        </w:rPr>
        <w:t>中</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eastAsia"/>
          <w:b w:val="0"/>
          <w:bCs/>
          <w:color w:val="auto"/>
          <w:lang w:val="en-US" w:eastAsia="zh-CN"/>
        </w:rPr>
        <w:t>20</w:t>
      </w:r>
      <w:r>
        <w:rPr>
          <w:rFonts w:hint="eastAsia"/>
          <w:b w:val="0"/>
          <w:bCs/>
          <w:color w:val="auto"/>
          <w:lang w:val="en-US" w:eastAsia="zh-CN"/>
        </w:rPr>
        <w:t>.</w:t>
      </w:r>
      <w:r>
        <w:rPr>
          <w:b w:val="0"/>
          <w:bCs/>
          <w:color w:val="auto"/>
        </w:rPr>
        <w:t>在一定浓度的CO</w:t>
      </w:r>
      <w:r>
        <w:rPr>
          <w:b w:val="0"/>
          <w:bCs/>
          <w:color w:val="auto"/>
          <w:vertAlign w:val="subscript"/>
        </w:rPr>
        <w:t>2</w:t>
      </w:r>
      <w:r>
        <w:rPr>
          <w:b w:val="0"/>
          <w:bCs/>
        </w:rPr>
        <w:t>和适</w:t>
      </w:r>
      <w:r>
        <w:rPr>
          <w:rFonts w:hint="eastAsia"/>
          <w:b w:val="0"/>
          <w:bCs/>
          <w:lang w:val="en-US" w:eastAsia="zh-CN"/>
        </w:rPr>
        <w:t>宜</w:t>
      </w:r>
      <w:r>
        <w:rPr>
          <w:b w:val="0"/>
          <w:bCs/>
        </w:rPr>
        <w:t>的温度条件下，测定A植物和B植物在不同光照条件下的光合速率，结果如下表，以下有关说法正确的是（    ）</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815"/>
        <w:gridCol w:w="1875"/>
        <w:gridCol w:w="1537"/>
        <w:gridCol w:w="2013"/>
        <w:gridCol w:w="1900"/>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1410"/>
        </w:trPr>
        <w:tc>
          <w:tcPr>
            <w:tcW w:w="81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p>
        </w:tc>
        <w:tc>
          <w:tcPr>
            <w:tcW w:w="18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光合速率与呼吸速率相等时光照强度（千勒克斯）</w:t>
            </w:r>
          </w:p>
        </w:tc>
        <w:tc>
          <w:tcPr>
            <w:tcW w:w="1537"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光饱和时光照强度（千勒克斯）</w:t>
            </w:r>
          </w:p>
        </w:tc>
        <w:tc>
          <w:tcPr>
            <w:tcW w:w="2013"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光饱和时CO</w:t>
            </w:r>
            <w:r>
              <w:rPr>
                <w:b w:val="0"/>
                <w:bCs/>
                <w:vertAlign w:val="subscript"/>
              </w:rPr>
              <w:t>2</w:t>
            </w:r>
            <w:r>
              <w:rPr>
                <w:b w:val="0"/>
                <w:bCs/>
              </w:rPr>
              <w:t>吸收量（mg/100cm</w:t>
            </w:r>
            <w:r>
              <w:rPr>
                <w:b w:val="0"/>
                <w:bCs/>
                <w:vertAlign w:val="superscript"/>
              </w:rPr>
              <w:t>2</w:t>
            </w:r>
            <w:r>
              <w:rPr>
                <w:b w:val="0"/>
                <w:bCs/>
              </w:rPr>
              <w:t>叶·小时）</w:t>
            </w:r>
          </w:p>
        </w:tc>
        <w:tc>
          <w:tcPr>
            <w:tcW w:w="19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黑暗条件下CO</w:t>
            </w:r>
            <w:r>
              <w:rPr>
                <w:b w:val="0"/>
                <w:bCs/>
                <w:vertAlign w:val="subscript"/>
              </w:rPr>
              <w:t>2</w:t>
            </w:r>
            <w:r>
              <w:rPr>
                <w:b w:val="0"/>
                <w:bCs/>
              </w:rPr>
              <w:t>释放量（mg/100cm</w:t>
            </w:r>
            <w:r>
              <w:rPr>
                <w:b w:val="0"/>
                <w:bCs/>
                <w:vertAlign w:val="superscript"/>
              </w:rPr>
              <w:t>2</w:t>
            </w:r>
            <w:r>
              <w:rPr>
                <w:b w:val="0"/>
                <w:bCs/>
              </w:rPr>
              <w:t>叶·小时）</w:t>
            </w:r>
          </w:p>
        </w:tc>
      </w:tr>
      <w:tr>
        <w:tblPrEx>
          <w:tblW w:w="0" w:type="auto"/>
          <w:tblInd w:w="0" w:type="dxa"/>
          <w:tblCellMar>
            <w:top w:w="120" w:type="dxa"/>
            <w:left w:w="120" w:type="dxa"/>
            <w:bottom w:w="120" w:type="dxa"/>
            <w:right w:w="120" w:type="dxa"/>
          </w:tblCellMar>
        </w:tblPrEx>
        <w:trPr>
          <w:trHeight w:val="439"/>
        </w:trPr>
        <w:tc>
          <w:tcPr>
            <w:tcW w:w="81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A植物</w:t>
            </w:r>
          </w:p>
        </w:tc>
        <w:tc>
          <w:tcPr>
            <w:tcW w:w="18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1</w:t>
            </w:r>
          </w:p>
        </w:tc>
        <w:tc>
          <w:tcPr>
            <w:tcW w:w="1537"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3</w:t>
            </w:r>
          </w:p>
        </w:tc>
        <w:tc>
          <w:tcPr>
            <w:tcW w:w="2013"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11</w:t>
            </w:r>
          </w:p>
        </w:tc>
        <w:tc>
          <w:tcPr>
            <w:tcW w:w="19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5.5</w:t>
            </w:r>
          </w:p>
        </w:tc>
      </w:tr>
      <w:tr>
        <w:tblPrEx>
          <w:tblW w:w="0" w:type="auto"/>
          <w:tblInd w:w="0" w:type="dxa"/>
          <w:tblCellMar>
            <w:top w:w="120" w:type="dxa"/>
            <w:left w:w="120" w:type="dxa"/>
            <w:bottom w:w="120" w:type="dxa"/>
            <w:right w:w="120" w:type="dxa"/>
          </w:tblCellMar>
        </w:tblPrEx>
        <w:trPr>
          <w:trHeight w:val="330"/>
        </w:trPr>
        <w:tc>
          <w:tcPr>
            <w:tcW w:w="81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B植物</w:t>
            </w:r>
          </w:p>
        </w:tc>
        <w:tc>
          <w:tcPr>
            <w:tcW w:w="18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3</w:t>
            </w:r>
          </w:p>
        </w:tc>
        <w:tc>
          <w:tcPr>
            <w:tcW w:w="1537"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9</w:t>
            </w:r>
          </w:p>
        </w:tc>
        <w:tc>
          <w:tcPr>
            <w:tcW w:w="2013"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30</w:t>
            </w:r>
          </w:p>
        </w:tc>
        <w:tc>
          <w:tcPr>
            <w:tcW w:w="19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15</w:t>
            </w:r>
          </w:p>
        </w:tc>
      </w:tr>
    </w:tbl>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eastAsia"/>
          <w:b w:val="0"/>
          <w:bCs/>
          <w:color w:val="auto"/>
          <w:lang w:val="en-US" w:eastAsia="zh-CN"/>
        </w:rPr>
        <w:t>A.</w:t>
      </w:r>
      <w:r>
        <w:rPr>
          <w:b w:val="0"/>
          <w:bCs/>
          <w:color w:val="auto"/>
        </w:rPr>
        <w:t>光照强度为3klx时，A、B植物固定CO</w:t>
      </w:r>
      <w:r>
        <w:rPr>
          <w:b w:val="0"/>
          <w:bCs/>
          <w:color w:val="auto"/>
          <w:vertAlign w:val="subscript"/>
        </w:rPr>
        <w:t>2</w:t>
      </w:r>
      <w:r>
        <w:rPr>
          <w:b w:val="0"/>
          <w:bCs/>
          <w:color w:val="auto"/>
        </w:rPr>
        <w:t>速率的差值为4mgCO</w:t>
      </w:r>
      <w:r>
        <w:rPr>
          <w:b w:val="0"/>
          <w:bCs/>
          <w:color w:val="auto"/>
          <w:vertAlign w:val="subscript"/>
        </w:rPr>
        <w:t>2</w:t>
      </w:r>
      <w:r>
        <w:rPr>
          <w:b w:val="0"/>
          <w:bCs/>
          <w:color w:val="auto"/>
        </w:rPr>
        <w:t>/100cm</w:t>
      </w:r>
      <w:r>
        <w:rPr>
          <w:b w:val="0"/>
          <w:bCs/>
          <w:color w:val="auto"/>
          <w:vertAlign w:val="superscript"/>
        </w:rPr>
        <w:t>2</w:t>
      </w:r>
      <w:r>
        <w:rPr>
          <w:b w:val="0"/>
          <w:bCs/>
          <w:color w:val="auto"/>
        </w:rPr>
        <w:t>叶·小时</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eastAsia"/>
          <w:b w:val="0"/>
          <w:bCs/>
          <w:color w:val="auto"/>
          <w:lang w:val="en-US" w:eastAsia="zh-CN"/>
        </w:rPr>
        <w:t>B.</w:t>
      </w:r>
      <w:r>
        <w:rPr>
          <w:b w:val="0"/>
          <w:bCs/>
          <w:color w:val="auto"/>
        </w:rPr>
        <w:t>与B植物相比，A植物是可在弱光照条件下正常生长的植物</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color w:val="auto"/>
        </w:rPr>
      </w:pPr>
      <w:r>
        <w:rPr>
          <w:rFonts w:ascii="Times New Roman" w:hAnsi="Times New Roman" w:cs="Times New Roman" w:hint="default"/>
          <w:b w:val="0"/>
          <w:bCs/>
          <w:color w:val="auto"/>
        </w:rPr>
        <w:t>C</w:t>
      </w:r>
      <w:r>
        <w:rPr>
          <w:rFonts w:ascii="Times New Roman" w:hAnsi="Times New Roman" w:cs="Times New Roman" w:hint="eastAsia"/>
          <w:b w:val="0"/>
          <w:bCs/>
          <w:color w:val="auto"/>
          <w:lang w:val="en-US" w:eastAsia="zh-CN"/>
        </w:rPr>
        <w:t>.</w:t>
      </w:r>
      <w:r>
        <w:rPr>
          <w:b w:val="0"/>
          <w:bCs/>
          <w:color w:val="auto"/>
        </w:rPr>
        <w:t>光照强度为9klx时，B植物的总光合速率是45mgCO</w:t>
      </w:r>
      <w:r>
        <w:rPr>
          <w:b w:val="0"/>
          <w:bCs/>
          <w:color w:val="auto"/>
          <w:vertAlign w:val="subscript"/>
        </w:rPr>
        <w:t>2</w:t>
      </w:r>
      <w:r>
        <w:rPr>
          <w:b w:val="0"/>
          <w:bCs/>
          <w:color w:val="auto"/>
        </w:rPr>
        <w:t>/100cm</w:t>
      </w:r>
      <w:r>
        <w:rPr>
          <w:b w:val="0"/>
          <w:bCs/>
          <w:color w:val="auto"/>
          <w:vertAlign w:val="superscript"/>
        </w:rPr>
        <w:t>2</w:t>
      </w:r>
      <w:r>
        <w:rPr>
          <w:b w:val="0"/>
          <w:bCs/>
          <w:color w:val="auto"/>
        </w:rPr>
        <w:t>叶·小时</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hint="eastAsia"/>
          <w:b w:val="0"/>
          <w:bCs/>
        </w:rPr>
      </w:pPr>
      <w:r>
        <w:rPr>
          <w:rFonts w:ascii="Times New Roman" w:hAnsi="Times New Roman" w:cs="Times New Roman" w:hint="eastAsia"/>
          <w:b w:val="0"/>
          <w:bCs/>
          <w:color w:val="auto"/>
          <w:lang w:val="en-US" w:eastAsia="zh-CN"/>
        </w:rPr>
        <w:t>D.</w:t>
      </w:r>
      <w:r>
        <w:rPr>
          <w:b w:val="0"/>
          <w:bCs/>
        </w:rPr>
        <w:t>光照强度超过9klx时，B植物光合速率不再增加，此时升高温度则光合速率一定升高</w:t>
      </w:r>
    </w:p>
    <w:p>
      <w:pPr>
        <w:keepNext w:val="0"/>
        <w:keepLines w:val="0"/>
        <w:pageBreakBefore w:val="0"/>
        <w:kinsoku/>
        <w:wordWrap/>
        <w:overflowPunct/>
        <w:topLinePunct w:val="0"/>
        <w:autoSpaceDE/>
        <w:autoSpaceDN/>
        <w:bidi w:val="0"/>
        <w:adjustRightInd/>
        <w:snapToGrid/>
        <w:spacing w:line="288" w:lineRule="auto"/>
        <w:jc w:val="center"/>
        <w:rPr>
          <w:rFonts w:ascii="宋体"/>
          <w:b/>
          <w:color w:val="auto"/>
          <w:sz w:val="28"/>
          <w:szCs w:val="28"/>
        </w:rPr>
      </w:pPr>
      <w:r>
        <w:rPr>
          <w:rFonts w:ascii="宋体" w:hint="eastAsia"/>
          <w:b/>
          <w:color w:val="auto"/>
          <w:sz w:val="28"/>
          <w:szCs w:val="28"/>
        </w:rPr>
        <w:t>第Ⅱ卷（非选择题</w:t>
      </w:r>
      <w:r>
        <w:rPr>
          <w:rFonts w:ascii="宋体"/>
          <w:b/>
          <w:color w:val="auto"/>
          <w:sz w:val="28"/>
          <w:szCs w:val="28"/>
        </w:rPr>
        <w:t xml:space="preserve"> </w:t>
      </w:r>
      <w:r>
        <w:rPr>
          <w:rFonts w:ascii="宋体" w:hint="eastAsia"/>
          <w:b/>
          <w:color w:val="auto"/>
          <w:sz w:val="28"/>
          <w:szCs w:val="28"/>
        </w:rPr>
        <w:t>共</w:t>
      </w:r>
      <w:r>
        <w:rPr>
          <w:rFonts w:ascii="宋体"/>
          <w:b/>
          <w:color w:val="auto"/>
          <w:sz w:val="28"/>
          <w:szCs w:val="28"/>
        </w:rPr>
        <w:t>5</w:t>
      </w:r>
      <w:r>
        <w:rPr>
          <w:rFonts w:ascii="宋体" w:hint="eastAsia"/>
          <w:b/>
          <w:color w:val="auto"/>
          <w:sz w:val="28"/>
          <w:szCs w:val="28"/>
          <w:lang w:val="en-US" w:eastAsia="zh-CN"/>
        </w:rPr>
        <w:t>0</w:t>
      </w:r>
      <w:r>
        <w:rPr>
          <w:rFonts w:ascii="宋体" w:hint="eastAsia"/>
          <w:b/>
          <w:color w:val="auto"/>
          <w:sz w:val="28"/>
          <w:szCs w:val="28"/>
        </w:rPr>
        <w:t>分）</w:t>
      </w:r>
    </w:p>
    <w:p>
      <w:pPr>
        <w:keepNext w:val="0"/>
        <w:keepLines w:val="0"/>
        <w:pageBreakBefore w:val="0"/>
        <w:kinsoku/>
        <w:wordWrap/>
        <w:overflowPunct/>
        <w:topLinePunct w:val="0"/>
        <w:autoSpaceDE/>
        <w:autoSpaceDN/>
        <w:bidi w:val="0"/>
        <w:adjustRightInd/>
        <w:snapToGrid/>
        <w:spacing w:line="288" w:lineRule="auto"/>
        <w:rPr>
          <w:rFonts w:ascii="宋体"/>
          <w:b/>
          <w:color w:val="auto"/>
          <w:szCs w:val="21"/>
        </w:rPr>
      </w:pPr>
      <w:r>
        <w:rPr>
          <w:rFonts w:ascii="宋体" w:hint="eastAsia"/>
          <w:b/>
          <w:color w:val="auto"/>
          <w:szCs w:val="21"/>
        </w:rPr>
        <w:t>三、非选择题</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rPr>
          <w:b w:val="0"/>
          <w:bCs/>
        </w:rPr>
      </w:pPr>
      <w:r>
        <w:rPr>
          <w:rFonts w:ascii="Times New Roman" w:hAnsi="Times New Roman" w:cs="Times New Roman" w:hint="default"/>
          <w:bCs/>
          <w:color w:val="auto"/>
          <w:lang w:val="en-US" w:eastAsia="zh-CN"/>
        </w:rPr>
        <w:t>21</w:t>
      </w:r>
      <w:r>
        <w:rPr>
          <w:rFonts w:ascii="Times New Roman" w:hAnsi="Times New Roman" w:cs="Times New Roman" w:hint="default"/>
          <w:b w:val="0"/>
          <w:bCs/>
          <w:color w:val="auto"/>
          <w:lang w:val="en-US" w:eastAsia="zh-CN"/>
        </w:rPr>
        <w:t>.</w:t>
      </w:r>
      <w:r>
        <w:rPr>
          <w:rFonts w:ascii="Times New Roman" w:hAnsi="Times New Roman" w:cs="Times New Roman" w:hint="eastAsia"/>
          <w:b w:val="0"/>
          <w:bCs/>
          <w:color w:val="auto"/>
          <w:lang w:val="en-US" w:eastAsia="zh-CN"/>
        </w:rPr>
        <w:t>（11分）</w:t>
      </w:r>
      <w:r>
        <w:rPr>
          <w:b w:val="0"/>
          <w:bCs/>
        </w:rPr>
        <w:t>图1为动物细胞亚显微结构模式图，图2为分泌蛋白合成、加工和分泌过程模式图，a、b、c表示细胞器，根据图示回答下列有关问题：</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rPr>
          <w:b w:val="0"/>
          <w:bCs/>
        </w:rPr>
      </w:pPr>
      <w:r>
        <w:rPr>
          <w:b w:val="0"/>
          <w:bCs/>
        </w:rPr>
        <w:drawing>
          <wp:inline distT="0" distB="0" distL="114300" distR="114300">
            <wp:extent cx="3423285" cy="1651635"/>
            <wp:effectExtent l="0" t="0" r="5715" b="5715"/>
            <wp:docPr id="140229648" name="图片 1402296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881777" name="图片 140229648" descr=" "/>
                    <pic:cNvPicPr>
                      <a:picLocks noChangeAspect="1"/>
                    </pic:cNvPicPr>
                  </pic:nvPicPr>
                  <pic:blipFill>
                    <a:blip xmlns:r="http://schemas.openxmlformats.org/officeDocument/2006/relationships" r:embed="rId15"/>
                    <a:stretch>
                      <a:fillRect/>
                    </a:stretch>
                  </pic:blipFill>
                  <pic:spPr>
                    <a:xfrm>
                      <a:off x="0" y="0"/>
                      <a:ext cx="3423285" cy="1651635"/>
                    </a:xfrm>
                    <a:prstGeom prst="rect">
                      <a:avLst/>
                    </a:prstGeom>
                  </pic:spPr>
                </pic:pic>
              </a:graphicData>
            </a:graphic>
          </wp:inline>
        </w:drawing>
      </w:r>
      <w:r>
        <w:rPr>
          <w:b w:val="0"/>
          <w:bCs/>
        </w:rPr>
        <w:t xml:space="preserve"> </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rPr>
          <w:b w:val="0"/>
          <w:bCs/>
        </w:rPr>
      </w:pPr>
      <w:r>
        <w:rPr>
          <w:b w:val="0"/>
          <w:bCs/>
        </w:rPr>
        <w:t>（1）图1细胞与原核细胞共有的细胞器是____________（填名称），在真核细胞中，该细胞器的形成和___________（填名称）有关。请从细胞生命活动的角度分析，真核细胞和原核细胞中都含有该结构的原因：_______</w:t>
      </w:r>
      <w:r>
        <w:rPr>
          <w:rFonts w:hint="eastAsia"/>
          <w:b w:val="0"/>
          <w:bCs/>
          <w:u w:val="single"/>
          <w:lang w:val="en-US" w:eastAsia="zh-CN"/>
        </w:rPr>
        <w:t xml:space="preserve">                            </w:t>
      </w:r>
      <w:r>
        <w:rPr>
          <w:b w:val="0"/>
          <w:bCs/>
        </w:rPr>
        <w:t>________。</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rPr>
          <w:b w:val="0"/>
          <w:bCs/>
        </w:rPr>
      </w:pPr>
      <w:r>
        <w:rPr>
          <w:b w:val="0"/>
          <w:bCs/>
        </w:rPr>
        <w:t>（2）下列生物体的细胞中含有结构</w:t>
      </w:r>
      <w:r>
        <w:rPr>
          <w:rFonts w:ascii="Times New Roman" w:hAnsi="Times New Roman" w:cs="Times New Roman" w:hint="default"/>
          <w:b w:val="0"/>
          <w:bCs/>
        </w:rPr>
        <w:t>④</w:t>
      </w:r>
      <w:r>
        <w:rPr>
          <w:b w:val="0"/>
          <w:bCs/>
        </w:rPr>
        <w:t>的是_______________。</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rPr>
          <w:b w:val="0"/>
          <w:bCs/>
        </w:rPr>
      </w:pPr>
      <w:r>
        <w:rPr>
          <w:b w:val="0"/>
          <w:bCs/>
        </w:rPr>
        <w:t>A．菠菜叶肉细胞    B．洋葱根尖细胞      C．小球藻    D．人体肝脏细胞</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rPr>
          <w:b w:val="0"/>
          <w:bCs/>
        </w:rPr>
      </w:pPr>
      <w:r>
        <w:rPr>
          <w:b w:val="0"/>
          <w:bCs/>
        </w:rPr>
        <w:t>（3）图2中b的名称_______________，该结构的部分生物膜可以通过_______________的形式移动到c并与之融合，该过程说明了生物膜在_______________上紧密联系。</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rPr>
          <w:b w:val="0"/>
          <w:bCs/>
        </w:rPr>
      </w:pPr>
      <w:r>
        <w:rPr>
          <w:b w:val="0"/>
          <w:bCs/>
        </w:rPr>
        <w:t>（4）图2中_______________（填字母）参与了生物膜系统的构成，为了研究图2所示生物膜之间的联系，一般可采用的实验方法是_______________。</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pPr>
      <w:r>
        <w:rPr>
          <w:rFonts w:ascii="Times New Roman" w:hAnsi="Times New Roman" w:cs="Times New Roman" w:hint="default"/>
          <w:b w:val="0"/>
          <w:bCs/>
          <w:lang w:val="en-US" w:eastAsia="zh-CN"/>
        </w:rPr>
        <w:t>22.</w:t>
      </w:r>
      <w:r>
        <w:rPr>
          <w:rFonts w:ascii="Times New Roman" w:hAnsi="Times New Roman" w:cs="Times New Roman" w:hint="eastAsia"/>
          <w:b w:val="0"/>
          <w:bCs/>
          <w:lang w:val="en-US" w:eastAsia="zh-CN"/>
        </w:rPr>
        <w:t>（12分）</w:t>
      </w:r>
      <w:r>
        <w:rPr>
          <w:b w:val="0"/>
          <w:bCs/>
        </w:rPr>
        <w:t>下图为动物小肠上皮细胞吸收葡萄糖的原理图——这种运输方式被称为协同运输（主动运输的一种）。请据图分析回答问题：</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rPr>
        <w:drawing>
          <wp:anchor distT="0" distB="0" distL="114935" distR="114935" simplePos="0" relativeHeight="251662336" behindDoc="0" locked="0" layoutInCell="1" allowOverlap="1">
            <wp:simplePos x="0" y="0"/>
            <wp:positionH relativeFrom="column">
              <wp:posOffset>3175</wp:posOffset>
            </wp:positionH>
            <wp:positionV relativeFrom="paragraph">
              <wp:posOffset>69850</wp:posOffset>
            </wp:positionV>
            <wp:extent cx="4699635" cy="2371725"/>
            <wp:effectExtent l="0" t="0" r="5715" b="952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90059" name="图片 9"/>
                    <pic:cNvPicPr>
                      <a:picLocks noChangeAspect="1"/>
                    </pic:cNvPicPr>
                  </pic:nvPicPr>
                  <pic:blipFill>
                    <a:blip xmlns:r="http://schemas.openxmlformats.org/officeDocument/2006/relationships" r:embed="rId16"/>
                    <a:stretch>
                      <a:fillRect/>
                    </a:stretch>
                  </pic:blipFill>
                  <pic:spPr>
                    <a:xfrm>
                      <a:off x="0" y="0"/>
                      <a:ext cx="4699635" cy="2371725"/>
                    </a:xfrm>
                    <a:prstGeom prst="rect">
                      <a:avLst/>
                    </a:prstGeom>
                  </pic:spPr>
                </pic:pic>
              </a:graphicData>
            </a:graphic>
          </wp:anchor>
        </w:drawing>
      </w:r>
      <w:r>
        <w:rPr>
          <w:b w:val="0"/>
          <w:bCs/>
        </w:rPr>
        <w:t>（1）图示结构的基本支架是_________，该结构</w:t>
      </w:r>
      <w:r>
        <w:rPr>
          <w:rFonts w:hint="eastAsia"/>
          <w:b w:val="0"/>
          <w:bCs/>
          <w:lang w:val="en-US" w:eastAsia="zh-CN"/>
        </w:rPr>
        <w:t>不是静止的，具有一定的</w:t>
      </w:r>
      <w:r>
        <w:rPr>
          <w:b w:val="0"/>
          <w:bCs/>
        </w:rPr>
        <w:t>_____________。</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t>（2）小肠上皮细胞内钾离子的浓度比细胞外钾离子的浓度______。葡萄糖是______（选填“顺浓度”或“逆浓度”）被小肠上皮细胞吸收的。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t>（3）图示过程体现了该结构的功能特性是________________________。</w:t>
      </w:r>
      <w:r>
        <w:rPr>
          <w:rFonts w:hint="eastAsia"/>
          <w:b w:val="0"/>
          <w:bCs/>
          <w:lang w:val="en-US" w:eastAsia="zh-CN"/>
        </w:rPr>
        <w:t>其中</w:t>
      </w:r>
      <w:r>
        <w:rPr>
          <w:b w:val="0"/>
          <w:bCs/>
        </w:rPr>
        <w:t>钠钾泵</w:t>
      </w:r>
      <w:r>
        <w:rPr>
          <w:rFonts w:hint="eastAsia"/>
          <w:b w:val="0"/>
          <w:bCs/>
          <w:lang w:val="en-US" w:eastAsia="zh-CN"/>
        </w:rPr>
        <w:t>的两个作用是</w:t>
      </w:r>
      <w:r>
        <w:rPr>
          <w:b w:val="0"/>
          <w:bCs/>
        </w:rPr>
        <w:t>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t>（</w:t>
      </w:r>
      <w:r>
        <w:rPr>
          <w:rFonts w:hint="eastAsia"/>
          <w:b w:val="0"/>
          <w:bCs/>
          <w:lang w:val="en-US" w:eastAsia="zh-CN"/>
        </w:rPr>
        <w:t>4</w:t>
      </w:r>
      <w:r>
        <w:rPr>
          <w:b w:val="0"/>
          <w:bCs/>
        </w:rPr>
        <w:t>）科研人员将三组生理状态相同的小肠上皮细胞分别培养在含有相同培养液的密闭培养瓶中，一段时间后，测定其吸收钾离子的量。培养条件及实验结果见下表。</w:t>
      </w:r>
    </w:p>
    <w:tbl>
      <w:tblPr>
        <w:tblStyle w:val="TableNormal"/>
        <w:tblW w:w="6025"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1655"/>
        <w:gridCol w:w="1695"/>
        <w:gridCol w:w="2675"/>
      </w:tblGrid>
      <w:tr>
        <w:tblPrEx>
          <w:tblW w:w="6025"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30"/>
        </w:trPr>
        <w:tc>
          <w:tcPr>
            <w:tcW w:w="165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培养瓶中气体</w:t>
            </w:r>
          </w:p>
        </w:tc>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温度（℃）</w:t>
            </w:r>
          </w:p>
        </w:tc>
        <w:tc>
          <w:tcPr>
            <w:tcW w:w="26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钾离子相对吸收量（%）</w:t>
            </w:r>
          </w:p>
        </w:tc>
      </w:tr>
      <w:tr>
        <w:tblPrEx>
          <w:tblW w:w="6025" w:type="dxa"/>
          <w:tblInd w:w="190" w:type="dxa"/>
          <w:tblCellMar>
            <w:top w:w="120" w:type="dxa"/>
            <w:left w:w="120" w:type="dxa"/>
            <w:bottom w:w="120" w:type="dxa"/>
            <w:right w:w="120" w:type="dxa"/>
          </w:tblCellMar>
        </w:tblPrEx>
        <w:trPr>
          <w:trHeight w:val="330"/>
        </w:trPr>
        <w:tc>
          <w:tcPr>
            <w:tcW w:w="165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空气</w:t>
            </w:r>
          </w:p>
        </w:tc>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37</w:t>
            </w:r>
          </w:p>
        </w:tc>
        <w:tc>
          <w:tcPr>
            <w:tcW w:w="26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100</w:t>
            </w:r>
          </w:p>
        </w:tc>
      </w:tr>
      <w:tr>
        <w:tblPrEx>
          <w:tblW w:w="6025" w:type="dxa"/>
          <w:tblInd w:w="190" w:type="dxa"/>
          <w:tblCellMar>
            <w:top w:w="120" w:type="dxa"/>
            <w:left w:w="120" w:type="dxa"/>
            <w:bottom w:w="120" w:type="dxa"/>
            <w:right w:w="120" w:type="dxa"/>
          </w:tblCellMar>
        </w:tblPrEx>
        <w:trPr>
          <w:trHeight w:val="330"/>
        </w:trPr>
        <w:tc>
          <w:tcPr>
            <w:tcW w:w="165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氮气</w:t>
            </w:r>
          </w:p>
        </w:tc>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37</w:t>
            </w:r>
          </w:p>
        </w:tc>
        <w:tc>
          <w:tcPr>
            <w:tcW w:w="26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10</w:t>
            </w:r>
          </w:p>
        </w:tc>
      </w:tr>
      <w:tr>
        <w:tblPrEx>
          <w:tblW w:w="6025" w:type="dxa"/>
          <w:tblInd w:w="190" w:type="dxa"/>
          <w:tblCellMar>
            <w:top w:w="120" w:type="dxa"/>
            <w:left w:w="120" w:type="dxa"/>
            <w:bottom w:w="120" w:type="dxa"/>
            <w:right w:w="120" w:type="dxa"/>
          </w:tblCellMar>
        </w:tblPrEx>
        <w:trPr>
          <w:trHeight w:val="330"/>
        </w:trPr>
        <w:tc>
          <w:tcPr>
            <w:tcW w:w="165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空气</w:t>
            </w:r>
          </w:p>
        </w:tc>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20</w:t>
            </w:r>
          </w:p>
        </w:tc>
        <w:tc>
          <w:tcPr>
            <w:tcW w:w="26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center"/>
              <w:rPr>
                <w:b w:val="0"/>
                <w:bCs/>
              </w:rPr>
            </w:pPr>
            <w:r>
              <w:rPr>
                <w:b w:val="0"/>
                <w:bCs/>
              </w:rPr>
              <w:t>30</w:t>
            </w:r>
          </w:p>
        </w:tc>
      </w:tr>
    </w:tbl>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t>实验结果表明，________影响小肠上皮细胞对钾离子的吸收，</w:t>
      </w:r>
      <w:r>
        <w:rPr>
          <w:rFonts w:hint="eastAsia"/>
          <w:b w:val="0"/>
          <w:bCs/>
          <w:lang w:val="en-US" w:eastAsia="zh-CN"/>
        </w:rPr>
        <w:t>其</w:t>
      </w:r>
      <w:r>
        <w:rPr>
          <w:b w:val="0"/>
          <w:bCs/>
        </w:rPr>
        <w:t>原因是________________。</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rFonts w:ascii="Times New Roman" w:hAnsi="Times New Roman" w:cs="Times New Roman" w:hint="default"/>
          <w:b w:val="0"/>
          <w:bCs/>
          <w:lang w:val="en-US" w:eastAsia="zh-CN"/>
        </w:rPr>
        <w:t>23.</w:t>
      </w:r>
      <w:r>
        <w:rPr>
          <w:rFonts w:hint="eastAsia"/>
          <w:b w:val="0"/>
          <w:bCs/>
          <w:lang w:val="en-US" w:eastAsia="zh-CN"/>
        </w:rPr>
        <w:t>（11分）</w:t>
      </w:r>
      <w:r>
        <w:rPr>
          <w:b w:val="0"/>
          <w:bCs/>
        </w:rPr>
        <w:t>某蚜虫消化道内的一种消化酶A能催化淀粉水解为麦芽糖。消化酶A是一种</w:t>
      </w:r>
      <w:r>
        <w:rPr>
          <w:rFonts w:hint="eastAsia"/>
          <w:b w:val="0"/>
          <w:bCs/>
          <w:lang w:val="en-US" w:eastAsia="zh-CN"/>
        </w:rPr>
        <w:t>Ca</w:t>
      </w:r>
      <w:r>
        <w:rPr>
          <w:rFonts w:hint="eastAsia"/>
          <w:b w:val="0"/>
          <w:bCs/>
          <w:vertAlign w:val="superscript"/>
          <w:lang w:val="en-US" w:eastAsia="zh-CN"/>
        </w:rPr>
        <w:t>2+</w:t>
      </w:r>
      <w:r>
        <w:rPr>
          <w:b w:val="0"/>
          <w:bCs/>
        </w:rPr>
        <w:t>依赖性酶，每个消化酶A分子中含有若干个</w:t>
      </w:r>
      <w:r>
        <w:rPr>
          <w:rFonts w:hint="eastAsia"/>
          <w:b w:val="0"/>
          <w:bCs/>
          <w:lang w:val="en-US" w:eastAsia="zh-CN"/>
        </w:rPr>
        <w:t>Ca</w:t>
      </w:r>
      <w:r>
        <w:rPr>
          <w:rFonts w:hint="eastAsia"/>
          <w:b w:val="0"/>
          <w:bCs/>
          <w:vertAlign w:val="superscript"/>
          <w:lang w:val="en-US" w:eastAsia="zh-CN"/>
        </w:rPr>
        <w:t>2+</w:t>
      </w:r>
      <w:r>
        <w:rPr>
          <w:b w:val="0"/>
          <w:bCs/>
        </w:rPr>
        <w:t>的结合位点，便于与</w:t>
      </w:r>
      <w:r>
        <w:rPr>
          <w:rFonts w:hint="eastAsia"/>
          <w:b w:val="0"/>
          <w:bCs/>
          <w:lang w:val="en-US" w:eastAsia="zh-CN"/>
        </w:rPr>
        <w:t>Ca</w:t>
      </w:r>
      <w:r>
        <w:rPr>
          <w:rFonts w:hint="eastAsia"/>
          <w:b w:val="0"/>
          <w:bCs/>
          <w:vertAlign w:val="superscript"/>
          <w:lang w:val="en-US" w:eastAsia="zh-CN"/>
        </w:rPr>
        <w:t>2+</w:t>
      </w:r>
      <w:r>
        <w:rPr>
          <w:b w:val="0"/>
          <w:bCs/>
        </w:rPr>
        <w:t>结合后发挥催化作用。为研究消化酶A的化学本质、</w:t>
      </w:r>
      <w:r>
        <w:rPr>
          <w:rFonts w:hint="eastAsia"/>
          <w:b w:val="0"/>
          <w:bCs/>
          <w:lang w:val="en-US" w:eastAsia="zh-CN"/>
        </w:rPr>
        <w:t>Pb</w:t>
      </w:r>
      <w:r>
        <w:rPr>
          <w:rFonts w:hint="eastAsia"/>
          <w:b w:val="0"/>
          <w:bCs/>
          <w:vertAlign w:val="superscript"/>
          <w:lang w:val="en-US" w:eastAsia="zh-CN"/>
        </w:rPr>
        <w:t>2+</w:t>
      </w:r>
      <w:r>
        <w:rPr>
          <w:b w:val="0"/>
          <w:bCs/>
        </w:rPr>
        <w:t>及高温对消化酶A活性的影响，研究人员进行了相关实验，实验过程及结果如下表所示。</w:t>
      </w:r>
    </w:p>
    <w:tbl>
      <w:tblPr>
        <w:tblStyle w:val="TableNormal"/>
        <w:tblW w:w="788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1012"/>
        <w:gridCol w:w="1850"/>
        <w:gridCol w:w="1063"/>
        <w:gridCol w:w="1325"/>
        <w:gridCol w:w="1062"/>
        <w:gridCol w:w="1575"/>
      </w:tblGrid>
      <w:tr>
        <w:tblPrEx>
          <w:tblW w:w="788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825"/>
        </w:trPr>
        <w:tc>
          <w:tcPr>
            <w:tcW w:w="1012"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实验步骤</w:t>
            </w:r>
          </w:p>
          <w:p>
            <w:pPr>
              <w:spacing w:line="360" w:lineRule="auto"/>
              <w:jc w:val="left"/>
              <w:textAlignment w:val="center"/>
              <w:rPr>
                <w:b w:val="0"/>
                <w:bCs/>
                <w:sz w:val="18"/>
                <w:szCs w:val="18"/>
              </w:rPr>
            </w:pPr>
            <w:r>
              <w:rPr>
                <w:b w:val="0"/>
                <w:bCs/>
                <w:sz w:val="18"/>
                <w:szCs w:val="18"/>
              </w:rPr>
              <w:t>试管编号</w:t>
            </w:r>
          </w:p>
        </w:tc>
        <w:tc>
          <w:tcPr>
            <w:tcW w:w="18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①加入等量消化酶A提取液</w:t>
            </w:r>
          </w:p>
        </w:tc>
        <w:tc>
          <w:tcPr>
            <w:tcW w:w="1063"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②加入缓冲液</w:t>
            </w:r>
          </w:p>
        </w:tc>
        <w:tc>
          <w:tcPr>
            <w:tcW w:w="132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③加入1%可溶性淀粉溶液</w:t>
            </w:r>
          </w:p>
        </w:tc>
        <w:tc>
          <w:tcPr>
            <w:tcW w:w="1062"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④加入1%碘液</w:t>
            </w:r>
          </w:p>
        </w:tc>
        <w:tc>
          <w:tcPr>
            <w:tcW w:w="15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⑤观察实验现象</w:t>
            </w:r>
          </w:p>
        </w:tc>
      </w:tr>
      <w:tr>
        <w:tblPrEx>
          <w:tblW w:w="7887" w:type="dxa"/>
          <w:tblInd w:w="115" w:type="dxa"/>
          <w:tblCellMar>
            <w:top w:w="120" w:type="dxa"/>
            <w:left w:w="120" w:type="dxa"/>
            <w:bottom w:w="120" w:type="dxa"/>
            <w:right w:w="120" w:type="dxa"/>
          </w:tblCellMar>
        </w:tblPrEx>
        <w:trPr>
          <w:trHeight w:val="705"/>
        </w:trPr>
        <w:tc>
          <w:tcPr>
            <w:tcW w:w="1012"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甲</w:t>
            </w:r>
          </w:p>
        </w:tc>
        <w:tc>
          <w:tcPr>
            <w:tcW w:w="18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不做处理，10min</w:t>
            </w:r>
          </w:p>
        </w:tc>
        <w:tc>
          <w:tcPr>
            <w:tcW w:w="1063"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2mL</w:t>
            </w:r>
          </w:p>
        </w:tc>
        <w:tc>
          <w:tcPr>
            <w:tcW w:w="132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2mL</w:t>
            </w:r>
          </w:p>
        </w:tc>
        <w:tc>
          <w:tcPr>
            <w:tcW w:w="1062"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0．1mL</w:t>
            </w:r>
          </w:p>
        </w:tc>
        <w:tc>
          <w:tcPr>
            <w:tcW w:w="15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不出现蓝色</w:t>
            </w:r>
          </w:p>
        </w:tc>
      </w:tr>
      <w:tr>
        <w:tblPrEx>
          <w:tblW w:w="7887" w:type="dxa"/>
          <w:tblInd w:w="115" w:type="dxa"/>
          <w:tblCellMar>
            <w:top w:w="120" w:type="dxa"/>
            <w:left w:w="120" w:type="dxa"/>
            <w:bottom w:w="120" w:type="dxa"/>
            <w:right w:w="120" w:type="dxa"/>
          </w:tblCellMar>
        </w:tblPrEx>
        <w:trPr>
          <w:trHeight w:val="699"/>
        </w:trPr>
        <w:tc>
          <w:tcPr>
            <w:tcW w:w="1012"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乙</w:t>
            </w:r>
          </w:p>
        </w:tc>
        <w:tc>
          <w:tcPr>
            <w:tcW w:w="18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加入蛋白酶，10min</w:t>
            </w:r>
          </w:p>
        </w:tc>
        <w:tc>
          <w:tcPr>
            <w:tcW w:w="1063"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2mL</w:t>
            </w:r>
          </w:p>
        </w:tc>
        <w:tc>
          <w:tcPr>
            <w:tcW w:w="132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2mL</w:t>
            </w:r>
          </w:p>
        </w:tc>
        <w:tc>
          <w:tcPr>
            <w:tcW w:w="1062"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0．1mL</w:t>
            </w:r>
          </w:p>
        </w:tc>
        <w:tc>
          <w:tcPr>
            <w:tcW w:w="15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深蓝色</w:t>
            </w:r>
          </w:p>
        </w:tc>
      </w:tr>
      <w:tr>
        <w:tblPrEx>
          <w:tblW w:w="7887" w:type="dxa"/>
          <w:tblInd w:w="115" w:type="dxa"/>
          <w:tblCellMar>
            <w:top w:w="120" w:type="dxa"/>
            <w:left w:w="120" w:type="dxa"/>
            <w:bottom w:w="120" w:type="dxa"/>
            <w:right w:w="120" w:type="dxa"/>
          </w:tblCellMar>
        </w:tblPrEx>
        <w:trPr>
          <w:trHeight w:val="1090"/>
        </w:trPr>
        <w:tc>
          <w:tcPr>
            <w:tcW w:w="1012"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丙</w:t>
            </w:r>
          </w:p>
        </w:tc>
        <w:tc>
          <w:tcPr>
            <w:tcW w:w="18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加入</w:t>
            </w:r>
            <w:r>
              <w:rPr>
                <w:rFonts w:hint="eastAsia"/>
                <w:b w:val="0"/>
                <w:bCs/>
                <w:sz w:val="18"/>
                <w:szCs w:val="18"/>
                <w:lang w:val="en-US" w:eastAsia="zh-CN"/>
              </w:rPr>
              <w:t>60umol/L</w:t>
            </w:r>
            <w:r>
              <w:rPr>
                <w:b w:val="0"/>
                <w:bCs/>
                <w:sz w:val="18"/>
                <w:szCs w:val="18"/>
              </w:rPr>
              <w:t>的</w:t>
            </w:r>
            <w:r>
              <w:rPr>
                <w:rFonts w:hint="eastAsia"/>
                <w:b w:val="0"/>
                <w:bCs/>
                <w:sz w:val="18"/>
                <w:szCs w:val="18"/>
                <w:lang w:val="en-US" w:eastAsia="zh-CN"/>
              </w:rPr>
              <w:t>Pb</w:t>
            </w:r>
            <w:r>
              <w:rPr>
                <w:rFonts w:hint="eastAsia"/>
                <w:b w:val="0"/>
                <w:bCs/>
                <w:sz w:val="18"/>
                <w:szCs w:val="18"/>
                <w:vertAlign w:val="superscript"/>
                <w:lang w:val="en-US" w:eastAsia="zh-CN"/>
              </w:rPr>
              <w:t>2+</w:t>
            </w:r>
            <w:r>
              <w:rPr>
                <w:b w:val="0"/>
                <w:bCs/>
                <w:sz w:val="18"/>
                <w:szCs w:val="18"/>
              </w:rPr>
              <w:t>溶液，10min</w:t>
            </w:r>
          </w:p>
        </w:tc>
        <w:tc>
          <w:tcPr>
            <w:tcW w:w="1063"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2mL</w:t>
            </w:r>
          </w:p>
        </w:tc>
        <w:tc>
          <w:tcPr>
            <w:tcW w:w="132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2mL</w:t>
            </w:r>
          </w:p>
        </w:tc>
        <w:tc>
          <w:tcPr>
            <w:tcW w:w="1062"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0．1mL</w:t>
            </w:r>
          </w:p>
        </w:tc>
        <w:tc>
          <w:tcPr>
            <w:tcW w:w="15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深蓝色</w:t>
            </w:r>
          </w:p>
        </w:tc>
      </w:tr>
      <w:tr>
        <w:tblPrEx>
          <w:tblW w:w="7887" w:type="dxa"/>
          <w:tblInd w:w="115" w:type="dxa"/>
          <w:tblCellMar>
            <w:top w:w="120" w:type="dxa"/>
            <w:left w:w="120" w:type="dxa"/>
            <w:bottom w:w="120" w:type="dxa"/>
            <w:right w:w="120" w:type="dxa"/>
          </w:tblCellMar>
        </w:tblPrEx>
        <w:trPr>
          <w:trHeight w:val="750"/>
        </w:trPr>
        <w:tc>
          <w:tcPr>
            <w:tcW w:w="1012"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丁</w:t>
            </w:r>
          </w:p>
        </w:tc>
        <w:tc>
          <w:tcPr>
            <w:tcW w:w="18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加热煮沸， 10min</w:t>
            </w:r>
          </w:p>
        </w:tc>
        <w:tc>
          <w:tcPr>
            <w:tcW w:w="1063"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2mL</w:t>
            </w:r>
          </w:p>
        </w:tc>
        <w:tc>
          <w:tcPr>
            <w:tcW w:w="132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2mL</w:t>
            </w:r>
          </w:p>
        </w:tc>
        <w:tc>
          <w:tcPr>
            <w:tcW w:w="1062"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0．1mL</w:t>
            </w:r>
          </w:p>
        </w:tc>
        <w:tc>
          <w:tcPr>
            <w:tcW w:w="157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b w:val="0"/>
                <w:bCs/>
                <w:sz w:val="18"/>
                <w:szCs w:val="18"/>
              </w:rPr>
            </w:pPr>
            <w:r>
              <w:rPr>
                <w:b w:val="0"/>
                <w:bCs/>
                <w:sz w:val="18"/>
                <w:szCs w:val="18"/>
              </w:rPr>
              <w:t>深蓝色</w:t>
            </w:r>
          </w:p>
        </w:tc>
      </w:tr>
    </w:tbl>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t>回答下列问题：</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eastAsia="宋体" w:hint="eastAsia"/>
          <w:b w:val="0"/>
          <w:bCs/>
          <w:lang w:eastAsia="zh-CN"/>
        </w:rPr>
      </w:pPr>
      <w:r>
        <w:rPr>
          <w:b w:val="0"/>
          <w:bCs/>
        </w:rPr>
        <w:t>（1）酶的作用机理是____________，步骤</w:t>
      </w:r>
      <w:r>
        <w:rPr>
          <w:rFonts w:ascii="Times New Roman" w:hAnsi="Times New Roman" w:cs="Times New Roman" w:hint="default"/>
          <w:b w:val="0"/>
          <w:bCs/>
        </w:rPr>
        <w:t>②</w:t>
      </w:r>
      <w:r>
        <w:rPr>
          <w:b w:val="0"/>
          <w:bCs/>
        </w:rPr>
        <w:t>在试管中加缓冲液的目的是______________</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t>（2）综合分析试管甲和试管乙的实验结果，说明_______________________。综合分析试管甲和试管丁的实验结果，说明_____________________________________________。</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t>（3）甲、丙实验结果说明</w:t>
      </w:r>
      <w:r>
        <w:rPr>
          <w:rFonts w:hint="eastAsia"/>
          <w:b w:val="0"/>
          <w:bCs/>
          <w:sz w:val="21"/>
          <w:szCs w:val="21"/>
          <w:lang w:val="en-US" w:eastAsia="zh-CN"/>
        </w:rPr>
        <w:t>60umol/L</w:t>
      </w:r>
      <w:r>
        <w:rPr>
          <w:b w:val="0"/>
          <w:bCs/>
          <w:sz w:val="21"/>
          <w:szCs w:val="21"/>
        </w:rPr>
        <w:t>的</w:t>
      </w:r>
      <w:r>
        <w:rPr>
          <w:rFonts w:hint="eastAsia"/>
          <w:b w:val="0"/>
          <w:bCs/>
          <w:sz w:val="21"/>
          <w:szCs w:val="21"/>
          <w:lang w:val="en-US" w:eastAsia="zh-CN"/>
        </w:rPr>
        <w:t>Pb</w:t>
      </w:r>
      <w:r>
        <w:rPr>
          <w:rFonts w:hint="eastAsia"/>
          <w:b w:val="0"/>
          <w:bCs/>
          <w:sz w:val="21"/>
          <w:szCs w:val="21"/>
          <w:vertAlign w:val="superscript"/>
          <w:lang w:val="en-US" w:eastAsia="zh-CN"/>
        </w:rPr>
        <w:t>2</w:t>
      </w:r>
      <w:r>
        <w:rPr>
          <w:rFonts w:hint="eastAsia"/>
          <w:b w:val="0"/>
          <w:bCs/>
          <w:sz w:val="18"/>
          <w:szCs w:val="18"/>
          <w:vertAlign w:val="superscript"/>
          <w:lang w:val="en-US" w:eastAsia="zh-CN"/>
        </w:rPr>
        <w:t>+</w:t>
      </w:r>
      <w:r>
        <w:rPr>
          <w:b w:val="0"/>
          <w:bCs/>
        </w:rPr>
        <w:t>能抑制消化酶A的活性。为研究</w:t>
      </w:r>
      <w:r>
        <w:rPr>
          <w:rFonts w:hint="eastAsia"/>
          <w:b w:val="0"/>
          <w:bCs/>
          <w:sz w:val="21"/>
          <w:szCs w:val="21"/>
          <w:lang w:val="en-US" w:eastAsia="zh-CN"/>
        </w:rPr>
        <w:t>Pb</w:t>
      </w:r>
      <w:r>
        <w:rPr>
          <w:rFonts w:hint="eastAsia"/>
          <w:b w:val="0"/>
          <w:bCs/>
          <w:sz w:val="21"/>
          <w:szCs w:val="21"/>
          <w:vertAlign w:val="superscript"/>
          <w:lang w:val="en-US" w:eastAsia="zh-CN"/>
        </w:rPr>
        <w:t>2+</w:t>
      </w:r>
      <w:r>
        <w:rPr>
          <w:b w:val="0"/>
          <w:bCs/>
        </w:rPr>
        <w:t>抑制消化酶A活性的原理，研究人员在含有</w:t>
      </w:r>
      <w:r>
        <w:rPr>
          <w:rFonts w:hint="eastAsia"/>
          <w:b w:val="0"/>
          <w:bCs/>
          <w:lang w:val="en-US" w:eastAsia="zh-CN"/>
        </w:rPr>
        <w:t>Ca</w:t>
      </w:r>
      <w:r>
        <w:rPr>
          <w:rFonts w:hint="eastAsia"/>
          <w:b w:val="0"/>
          <w:bCs/>
          <w:vertAlign w:val="superscript"/>
          <w:lang w:val="en-US" w:eastAsia="zh-CN"/>
        </w:rPr>
        <w:t>2+</w:t>
      </w:r>
      <w:r>
        <w:rPr>
          <w:b w:val="0"/>
          <w:bCs/>
        </w:rPr>
        <w:t>的消化酶A中加入</w:t>
      </w:r>
      <w:r>
        <w:rPr>
          <w:rFonts w:hint="eastAsia"/>
          <w:b w:val="0"/>
          <w:bCs/>
          <w:sz w:val="21"/>
          <w:szCs w:val="21"/>
          <w:lang w:val="en-US" w:eastAsia="zh-CN"/>
        </w:rPr>
        <w:t>60umol/L</w:t>
      </w:r>
      <w:r>
        <w:rPr>
          <w:b w:val="0"/>
          <w:bCs/>
        </w:rPr>
        <w:t>的</w:t>
      </w:r>
      <w:r>
        <w:rPr>
          <w:rFonts w:hint="eastAsia"/>
          <w:b w:val="0"/>
          <w:bCs/>
          <w:sz w:val="21"/>
          <w:szCs w:val="21"/>
          <w:lang w:val="en-US" w:eastAsia="zh-CN"/>
        </w:rPr>
        <w:t>Pb</w:t>
      </w:r>
      <w:r>
        <w:rPr>
          <w:rFonts w:hint="eastAsia"/>
          <w:b w:val="0"/>
          <w:bCs/>
          <w:sz w:val="21"/>
          <w:szCs w:val="21"/>
          <w:vertAlign w:val="superscript"/>
          <w:lang w:val="en-US" w:eastAsia="zh-CN"/>
        </w:rPr>
        <w:t>2+</w:t>
      </w:r>
      <w:r>
        <w:rPr>
          <w:b w:val="0"/>
          <w:bCs/>
        </w:rPr>
        <w:t>溶液，在</w:t>
      </w:r>
      <w:r>
        <w:rPr>
          <w:rFonts w:hint="eastAsia"/>
          <w:b w:val="0"/>
          <w:bCs/>
          <w:sz w:val="21"/>
          <w:szCs w:val="21"/>
          <w:lang w:val="en-US" w:eastAsia="zh-CN"/>
        </w:rPr>
        <w:t>Pb</w:t>
      </w:r>
      <w:r>
        <w:rPr>
          <w:rFonts w:hint="eastAsia"/>
          <w:b w:val="0"/>
          <w:bCs/>
          <w:sz w:val="21"/>
          <w:szCs w:val="21"/>
          <w:vertAlign w:val="superscript"/>
          <w:lang w:val="en-US" w:eastAsia="zh-CN"/>
        </w:rPr>
        <w:t>2+</w:t>
      </w:r>
      <w:r>
        <w:rPr>
          <w:b w:val="0"/>
          <w:bCs/>
        </w:rPr>
        <w:t>与消化酶A充分作用后，检测发现消化酶A中</w:t>
      </w:r>
      <w:r>
        <w:rPr>
          <w:rFonts w:hint="eastAsia"/>
          <w:b w:val="0"/>
          <w:bCs/>
          <w:lang w:val="en-US" w:eastAsia="zh-CN"/>
        </w:rPr>
        <w:t>Ca</w:t>
      </w:r>
      <w:r>
        <w:rPr>
          <w:rFonts w:hint="eastAsia"/>
          <w:b w:val="0"/>
          <w:bCs/>
          <w:vertAlign w:val="superscript"/>
          <w:lang w:val="en-US" w:eastAsia="zh-CN"/>
        </w:rPr>
        <w:t>2+</w:t>
      </w:r>
      <w:r>
        <w:rPr>
          <w:b w:val="0"/>
          <w:bCs/>
        </w:rPr>
        <w:t>含量等于0，据此可得出的初步结论是____________________________________________________________________________。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eastAsia="宋体" w:hint="eastAsia"/>
          <w:b w:val="0"/>
          <w:bCs/>
          <w:lang w:eastAsia="zh-CN"/>
        </w:rPr>
      </w:pPr>
      <w:r>
        <w:rPr>
          <w:rFonts w:ascii="Times New Roman" w:hAnsi="Times New Roman" w:cs="Times New Roman" w:hint="default"/>
          <w:b w:val="0"/>
          <w:bCs/>
          <w:lang w:val="en-US" w:eastAsia="zh-CN"/>
        </w:rPr>
        <w:t>24</w:t>
      </w:r>
      <w:r>
        <w:rPr>
          <w:rFonts w:ascii="Times New Roman" w:hAnsi="Times New Roman" w:cs="Times New Roman" w:hint="eastAsia"/>
          <w:b w:val="0"/>
          <w:bCs/>
          <w:lang w:val="en-US" w:eastAsia="zh-CN"/>
        </w:rPr>
        <w:t>.（16分）</w:t>
      </w:r>
      <w:r>
        <w:rPr>
          <w:b w:val="0"/>
          <w:bCs/>
        </w:rPr>
        <w:t>某作物光合作用的研究结果如图所示</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drawing>
          <wp:inline distT="0" distB="0" distL="114300" distR="114300">
            <wp:extent cx="4834255" cy="1778000"/>
            <wp:effectExtent l="0" t="0" r="4445" b="12700"/>
            <wp:docPr id="100007" name="图片 1000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13091" name="图片 100007" descr=" "/>
                    <pic:cNvPicPr>
                      <a:picLocks noChangeAspect="1"/>
                    </pic:cNvPicPr>
                  </pic:nvPicPr>
                  <pic:blipFill>
                    <a:blip xmlns:r="http://schemas.openxmlformats.org/officeDocument/2006/relationships" r:embed="rId17"/>
                    <a:stretch>
                      <a:fillRect/>
                    </a:stretch>
                  </pic:blipFill>
                  <pic:spPr>
                    <a:xfrm>
                      <a:off x="0" y="0"/>
                      <a:ext cx="4834255" cy="1778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t>（1）图甲表示全光照和不同程度遮光对该植物叶片中叶绿素含量的影响。叶绿素存在于叶绿体中的_______________上，需先用_______________（填溶剂名称）提取叶片中的色素，再测定叶绿素含量。</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b w:val="0"/>
          <w:bCs/>
        </w:rPr>
      </w:pPr>
      <w:r>
        <w:rPr>
          <w:b w:val="0"/>
          <w:bCs/>
        </w:rPr>
        <w:t>（2）图乙表示初夏某天在遮光50%条件下，温度、光照强度、该植物净光合速率和气孔导度（气孔张开的程度）的日变化趋势。8:00 到10:00光照强度增强而净光合速率降低，主要原因是__________________________________________________________________；由此可见，大棚作物如遇持续的阴雨天气，可通过____________________措施保证产量。该植物积累有机物最多的时间是_________时。</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hint="eastAsia"/>
          <w:b w:val="0"/>
          <w:bCs/>
          <w:lang w:eastAsia="zh-CN"/>
        </w:rPr>
      </w:pPr>
      <w:r>
        <w:rPr>
          <w:b w:val="0"/>
          <w:bCs/>
        </w:rPr>
        <w:t>（3）实验过程中，若去除遮光物，短时间内时绿体中的ATP</w:t>
      </w:r>
      <w:r>
        <w:rPr>
          <w:rFonts w:hint="eastAsia"/>
          <w:b w:val="0"/>
          <w:bCs/>
          <w:lang w:val="en-US" w:eastAsia="zh-CN"/>
        </w:rPr>
        <w:t>和[</w:t>
      </w:r>
      <w:r>
        <w:rPr>
          <w:b w:val="0"/>
          <w:bCs/>
        </w:rPr>
        <w:t>H</w:t>
      </w:r>
      <w:r>
        <w:rPr>
          <w:rFonts w:hint="eastAsia"/>
          <w:b w:val="0"/>
          <w:bCs/>
          <w:lang w:val="en-US" w:eastAsia="zh-CN"/>
        </w:rPr>
        <w:t>]</w:t>
      </w:r>
      <w:r>
        <w:rPr>
          <w:b w:val="0"/>
          <w:bCs/>
        </w:rPr>
        <w:t>含量_____，C</w:t>
      </w:r>
      <w:r>
        <w:rPr>
          <w:b w:val="0"/>
          <w:bCs/>
          <w:vertAlign w:val="subscript"/>
        </w:rPr>
        <w:t>3</w:t>
      </w:r>
      <w:r>
        <w:rPr>
          <w:b w:val="0"/>
          <w:bCs/>
        </w:rPr>
        <w:t>含量_____。请</w:t>
      </w:r>
      <w:r>
        <w:rPr>
          <w:rFonts w:hint="eastAsia"/>
          <w:b w:val="0"/>
          <w:bCs/>
          <w:lang w:val="en-US" w:eastAsia="zh-CN"/>
        </w:rPr>
        <w:t>写出光合作用的化学反应式</w:t>
      </w:r>
      <w:r>
        <w:rPr>
          <w:b w:val="0"/>
          <w:bCs/>
        </w:rPr>
        <w:t>_________________________________________________</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hint="default"/>
          <w:b w:val="0"/>
          <w:bCs/>
          <w:color w:val="auto"/>
          <w:lang w:val="en-US" w:eastAsia="zh-CN"/>
        </w:rPr>
      </w:pPr>
    </w:p>
    <w:p>
      <w:pPr>
        <w:spacing w:line="288" w:lineRule="auto"/>
        <w:jc w:val="center"/>
        <w:rPr>
          <w:rFonts w:ascii="黑体" w:eastAsia="黑体" w:hAnsi="黑体" w:cs="黑体"/>
          <w:b/>
          <w:bCs/>
          <w:sz w:val="32"/>
          <w:szCs w:val="32"/>
        </w:rPr>
      </w:pPr>
      <w:r>
        <w:rPr>
          <w:rFonts w:ascii="黑体" w:eastAsia="黑体" w:hAnsi="黑体" w:cs="黑体" w:hint="eastAsia"/>
          <w:b/>
          <w:bCs/>
          <w:sz w:val="32"/>
          <w:szCs w:val="32"/>
        </w:rPr>
        <w:t>沧州一中高二年级第</w:t>
      </w:r>
      <w:r>
        <w:rPr>
          <w:rFonts w:ascii="黑体" w:eastAsia="黑体" w:hAnsi="黑体" w:cs="黑体" w:hint="eastAsia"/>
          <w:b/>
          <w:bCs/>
          <w:sz w:val="32"/>
          <w:szCs w:val="32"/>
          <w:lang w:val="en-US" w:eastAsia="zh-CN"/>
        </w:rPr>
        <w:t>三</w:t>
      </w:r>
      <w:r>
        <w:rPr>
          <w:rFonts w:ascii="黑体" w:eastAsia="黑体" w:hAnsi="黑体" w:cs="黑体" w:hint="eastAsia"/>
          <w:b/>
          <w:bCs/>
          <w:sz w:val="32"/>
          <w:szCs w:val="32"/>
        </w:rPr>
        <w:t>次学段检测</w:t>
      </w:r>
    </w:p>
    <w:p>
      <w:pPr>
        <w:jc w:val="center"/>
        <w:rPr>
          <w:rFonts w:ascii="黑体" w:eastAsia="黑体" w:hAnsi="黑体" w:cs="黑体"/>
          <w:b/>
          <w:bCs/>
          <w:sz w:val="32"/>
          <w:szCs w:val="32"/>
        </w:rPr>
      </w:pPr>
      <w:r>
        <w:rPr>
          <w:rFonts w:ascii="黑体" w:eastAsia="黑体" w:hAnsi="黑体" w:cs="黑体" w:hint="eastAsia"/>
          <w:b/>
          <w:bCs/>
          <w:sz w:val="32"/>
          <w:szCs w:val="32"/>
        </w:rPr>
        <w:t>生物试题</w:t>
      </w:r>
      <w:r>
        <w:rPr>
          <w:rFonts w:ascii="黑体" w:eastAsia="黑体" w:hAnsi="黑体" w:hint="eastAsia"/>
          <w:b/>
          <w:sz w:val="32"/>
          <w:szCs w:val="32"/>
        </w:rPr>
        <w:t>参考答案及评分标准</w:t>
      </w:r>
    </w:p>
    <w:p>
      <w:pPr>
        <w:pStyle w:val="Normal143"/>
        <w:spacing w:line="360" w:lineRule="auto"/>
        <w:jc w:val="center"/>
        <w:textAlignment w:val="center"/>
        <w:rPr>
          <w:rFonts w:asciiTheme="minorEastAsia" w:eastAsiaTheme="minorEastAsia" w:hAnsiTheme="minorEastAsia"/>
          <w:b/>
          <w:sz w:val="28"/>
          <w:szCs w:val="28"/>
        </w:rPr>
      </w:pPr>
      <w:r>
        <w:rPr>
          <w:rFonts w:asciiTheme="minorEastAsia" w:eastAsiaTheme="minorEastAsia" w:hAnsiTheme="minorEastAsia" w:hint="eastAsia"/>
          <w:b/>
          <w:szCs w:val="21"/>
        </w:rPr>
        <w:t>第Ⅰ卷（选择题 共</w:t>
      </w:r>
      <w:r>
        <w:rPr>
          <w:rFonts w:asciiTheme="minorEastAsia" w:eastAsiaTheme="minorEastAsia" w:hAnsiTheme="minorEastAsia" w:hint="eastAsia"/>
          <w:b/>
          <w:szCs w:val="21"/>
          <w:lang w:val="en-US" w:eastAsia="zh-CN"/>
        </w:rPr>
        <w:t>50</w:t>
      </w:r>
      <w:r>
        <w:rPr>
          <w:rFonts w:asciiTheme="minorEastAsia" w:eastAsiaTheme="minorEastAsia" w:hAnsiTheme="minorEastAsia" w:hint="eastAsia"/>
          <w:b/>
          <w:szCs w:val="21"/>
        </w:rPr>
        <w:t>分）</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36"/>
        <w:gridCol w:w="636"/>
        <w:gridCol w:w="531"/>
        <w:gridCol w:w="531"/>
        <w:gridCol w:w="531"/>
        <w:gridCol w:w="528"/>
        <w:gridCol w:w="529"/>
        <w:gridCol w:w="529"/>
        <w:gridCol w:w="529"/>
        <w:gridCol w:w="531"/>
        <w:gridCol w:w="531"/>
        <w:gridCol w:w="531"/>
        <w:gridCol w:w="531"/>
        <w:gridCol w:w="632"/>
        <w:gridCol w:w="53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397"/>
        </w:trPr>
        <w:tc>
          <w:tcPr>
            <w:tcW w:w="636" w:type="dxa"/>
            <w:vAlign w:val="center"/>
          </w:tcPr>
          <w:p>
            <w:pPr>
              <w:jc w:val="center"/>
              <w:rPr>
                <w:rFonts w:asciiTheme="minorEastAsia" w:hAnsiTheme="minorEastAsia"/>
                <w:szCs w:val="21"/>
              </w:rPr>
            </w:pPr>
            <w:r>
              <w:rPr>
                <w:rFonts w:asciiTheme="minorEastAsia" w:hAnsiTheme="minorEastAsia" w:hint="eastAsia"/>
                <w:szCs w:val="21"/>
              </w:rPr>
              <w:t>1</w:t>
            </w:r>
          </w:p>
        </w:tc>
        <w:tc>
          <w:tcPr>
            <w:tcW w:w="636" w:type="dxa"/>
            <w:vAlign w:val="center"/>
          </w:tcPr>
          <w:p>
            <w:pPr>
              <w:jc w:val="center"/>
              <w:rPr>
                <w:rFonts w:asciiTheme="minorEastAsia" w:hAnsiTheme="minorEastAsia"/>
                <w:szCs w:val="21"/>
              </w:rPr>
            </w:pPr>
            <w:r>
              <w:rPr>
                <w:rFonts w:asciiTheme="minorEastAsia" w:hAnsiTheme="minorEastAsia" w:hint="eastAsia"/>
                <w:szCs w:val="21"/>
              </w:rPr>
              <w:t>2</w:t>
            </w:r>
          </w:p>
        </w:tc>
        <w:tc>
          <w:tcPr>
            <w:tcW w:w="532" w:type="dxa"/>
            <w:vAlign w:val="center"/>
          </w:tcPr>
          <w:p>
            <w:pPr>
              <w:jc w:val="center"/>
              <w:rPr>
                <w:rFonts w:asciiTheme="minorEastAsia" w:hAnsiTheme="minorEastAsia"/>
                <w:szCs w:val="21"/>
              </w:rPr>
            </w:pPr>
            <w:r>
              <w:rPr>
                <w:rFonts w:asciiTheme="minorEastAsia" w:hAnsiTheme="minorEastAsia" w:hint="eastAsia"/>
                <w:szCs w:val="21"/>
              </w:rPr>
              <w:t>3</w:t>
            </w:r>
          </w:p>
        </w:tc>
        <w:tc>
          <w:tcPr>
            <w:tcW w:w="532" w:type="dxa"/>
            <w:vAlign w:val="center"/>
          </w:tcPr>
          <w:p>
            <w:pPr>
              <w:jc w:val="center"/>
              <w:rPr>
                <w:rFonts w:asciiTheme="minorEastAsia" w:hAnsiTheme="minorEastAsia"/>
                <w:szCs w:val="21"/>
              </w:rPr>
            </w:pPr>
            <w:r>
              <w:rPr>
                <w:rFonts w:asciiTheme="minorEastAsia" w:hAnsiTheme="minorEastAsia" w:hint="eastAsia"/>
                <w:szCs w:val="21"/>
              </w:rPr>
              <w:t>4</w:t>
            </w:r>
          </w:p>
        </w:tc>
        <w:tc>
          <w:tcPr>
            <w:tcW w:w="532" w:type="dxa"/>
            <w:vAlign w:val="center"/>
          </w:tcPr>
          <w:p>
            <w:pPr>
              <w:jc w:val="center"/>
              <w:rPr>
                <w:rFonts w:asciiTheme="minorEastAsia" w:hAnsiTheme="minorEastAsia"/>
                <w:szCs w:val="21"/>
              </w:rPr>
            </w:pPr>
            <w:r>
              <w:rPr>
                <w:rFonts w:asciiTheme="minorEastAsia" w:hAnsiTheme="minorEastAsia" w:hint="eastAsia"/>
                <w:szCs w:val="21"/>
              </w:rPr>
              <w:t>5</w:t>
            </w:r>
          </w:p>
        </w:tc>
        <w:tc>
          <w:tcPr>
            <w:tcW w:w="532" w:type="dxa"/>
            <w:vAlign w:val="center"/>
          </w:tcPr>
          <w:p>
            <w:pPr>
              <w:jc w:val="center"/>
              <w:rPr>
                <w:rFonts w:asciiTheme="minorEastAsia" w:hAnsiTheme="minorEastAsia"/>
                <w:szCs w:val="21"/>
              </w:rPr>
            </w:pPr>
            <w:r>
              <w:rPr>
                <w:rFonts w:asciiTheme="minorEastAsia" w:hAnsiTheme="minorEastAsia" w:hint="eastAsia"/>
                <w:szCs w:val="21"/>
              </w:rPr>
              <w:t>6</w:t>
            </w:r>
          </w:p>
        </w:tc>
        <w:tc>
          <w:tcPr>
            <w:tcW w:w="533" w:type="dxa"/>
            <w:vAlign w:val="center"/>
          </w:tcPr>
          <w:p>
            <w:pPr>
              <w:jc w:val="center"/>
              <w:rPr>
                <w:rFonts w:asciiTheme="minorEastAsia" w:hAnsiTheme="minorEastAsia"/>
                <w:szCs w:val="21"/>
              </w:rPr>
            </w:pPr>
            <w:r>
              <w:rPr>
                <w:rFonts w:asciiTheme="minorEastAsia" w:hAnsiTheme="minorEastAsia" w:hint="eastAsia"/>
                <w:szCs w:val="21"/>
              </w:rPr>
              <w:t>7</w:t>
            </w:r>
          </w:p>
        </w:tc>
        <w:tc>
          <w:tcPr>
            <w:tcW w:w="533" w:type="dxa"/>
            <w:vAlign w:val="center"/>
          </w:tcPr>
          <w:p>
            <w:pPr>
              <w:jc w:val="center"/>
              <w:rPr>
                <w:rFonts w:asciiTheme="minorEastAsia" w:hAnsiTheme="minorEastAsia"/>
                <w:szCs w:val="21"/>
              </w:rPr>
            </w:pPr>
            <w:r>
              <w:rPr>
                <w:rFonts w:asciiTheme="minorEastAsia" w:hAnsiTheme="minorEastAsia" w:hint="eastAsia"/>
                <w:szCs w:val="21"/>
              </w:rPr>
              <w:t>8</w:t>
            </w:r>
          </w:p>
        </w:tc>
        <w:tc>
          <w:tcPr>
            <w:tcW w:w="533" w:type="dxa"/>
            <w:vAlign w:val="center"/>
          </w:tcPr>
          <w:p>
            <w:pPr>
              <w:jc w:val="center"/>
              <w:rPr>
                <w:rFonts w:asciiTheme="minorEastAsia" w:hAnsiTheme="minorEastAsia"/>
                <w:szCs w:val="21"/>
              </w:rPr>
            </w:pPr>
            <w:r>
              <w:rPr>
                <w:rFonts w:asciiTheme="minorEastAsia" w:hAnsiTheme="minorEastAsia" w:hint="eastAsia"/>
                <w:szCs w:val="21"/>
              </w:rPr>
              <w:t>9</w:t>
            </w:r>
          </w:p>
        </w:tc>
        <w:tc>
          <w:tcPr>
            <w:tcW w:w="533" w:type="dxa"/>
            <w:vAlign w:val="center"/>
          </w:tcPr>
          <w:p>
            <w:pPr>
              <w:jc w:val="center"/>
              <w:rPr>
                <w:rFonts w:asciiTheme="minorEastAsia" w:hAnsiTheme="minorEastAsia"/>
                <w:szCs w:val="21"/>
              </w:rPr>
            </w:pPr>
            <w:r>
              <w:rPr>
                <w:rFonts w:asciiTheme="minorEastAsia" w:hAnsiTheme="minorEastAsia" w:hint="eastAsia"/>
                <w:szCs w:val="21"/>
              </w:rPr>
              <w:t>10</w:t>
            </w:r>
          </w:p>
        </w:tc>
        <w:tc>
          <w:tcPr>
            <w:tcW w:w="533" w:type="dxa"/>
            <w:vAlign w:val="center"/>
          </w:tcPr>
          <w:p>
            <w:pPr>
              <w:jc w:val="center"/>
              <w:rPr>
                <w:rFonts w:asciiTheme="minorEastAsia" w:hAnsiTheme="minorEastAsia"/>
                <w:szCs w:val="21"/>
              </w:rPr>
            </w:pPr>
            <w:r>
              <w:rPr>
                <w:rFonts w:asciiTheme="minorEastAsia" w:hAnsiTheme="minorEastAsia" w:hint="eastAsia"/>
                <w:szCs w:val="21"/>
              </w:rPr>
              <w:t>11</w:t>
            </w:r>
          </w:p>
        </w:tc>
        <w:tc>
          <w:tcPr>
            <w:tcW w:w="533" w:type="dxa"/>
            <w:vAlign w:val="center"/>
          </w:tcPr>
          <w:p>
            <w:pPr>
              <w:jc w:val="center"/>
              <w:rPr>
                <w:rFonts w:asciiTheme="minorEastAsia" w:hAnsiTheme="minorEastAsia"/>
                <w:szCs w:val="21"/>
              </w:rPr>
            </w:pPr>
            <w:r>
              <w:rPr>
                <w:rFonts w:asciiTheme="minorEastAsia" w:hAnsiTheme="minorEastAsia" w:hint="eastAsia"/>
                <w:szCs w:val="21"/>
              </w:rPr>
              <w:t>12</w:t>
            </w:r>
          </w:p>
        </w:tc>
        <w:tc>
          <w:tcPr>
            <w:tcW w:w="533" w:type="dxa"/>
            <w:vAlign w:val="center"/>
          </w:tcPr>
          <w:p>
            <w:pPr>
              <w:jc w:val="center"/>
              <w:rPr>
                <w:rFonts w:asciiTheme="minorEastAsia" w:hAnsiTheme="minorEastAsia"/>
                <w:szCs w:val="21"/>
              </w:rPr>
            </w:pPr>
            <w:r>
              <w:rPr>
                <w:rFonts w:asciiTheme="minorEastAsia" w:hAnsiTheme="minorEastAsia" w:hint="eastAsia"/>
                <w:szCs w:val="21"/>
              </w:rPr>
              <w:t>13</w:t>
            </w:r>
          </w:p>
        </w:tc>
        <w:tc>
          <w:tcPr>
            <w:tcW w:w="636" w:type="dxa"/>
            <w:vAlign w:val="center"/>
          </w:tcPr>
          <w:p>
            <w:pPr>
              <w:jc w:val="center"/>
              <w:rPr>
                <w:rFonts w:asciiTheme="minorEastAsia" w:hAnsiTheme="minorEastAsia"/>
                <w:szCs w:val="21"/>
              </w:rPr>
            </w:pPr>
            <w:r>
              <w:rPr>
                <w:rFonts w:asciiTheme="minorEastAsia" w:hAnsiTheme="minorEastAsia" w:hint="eastAsia"/>
                <w:szCs w:val="21"/>
              </w:rPr>
              <w:t>14</w:t>
            </w:r>
          </w:p>
        </w:tc>
        <w:tc>
          <w:tcPr>
            <w:tcW w:w="533" w:type="dxa"/>
            <w:vAlign w:val="center"/>
          </w:tcPr>
          <w:p>
            <w:pPr>
              <w:jc w:val="center"/>
              <w:rPr>
                <w:rFonts w:asciiTheme="minorEastAsia" w:hAnsiTheme="minorEastAsia"/>
                <w:szCs w:val="21"/>
              </w:rPr>
            </w:pPr>
            <w:r>
              <w:rPr>
                <w:rFonts w:asciiTheme="minorEastAsia" w:hAnsiTheme="minorEastAsia" w:hint="eastAsia"/>
                <w:szCs w:val="21"/>
              </w:rPr>
              <w:t>15</w:t>
            </w:r>
          </w:p>
        </w:tc>
      </w:tr>
      <w:tr>
        <w:tblPrEx>
          <w:tblW w:w="0" w:type="auto"/>
          <w:tblInd w:w="0" w:type="dxa"/>
          <w:tblCellMar>
            <w:top w:w="0" w:type="dxa"/>
            <w:left w:w="108" w:type="dxa"/>
            <w:bottom w:w="0" w:type="dxa"/>
            <w:right w:w="108" w:type="dxa"/>
          </w:tblCellMar>
        </w:tblPrEx>
        <w:trPr>
          <w:trHeight w:val="552"/>
        </w:trPr>
        <w:tc>
          <w:tcPr>
            <w:tcW w:w="636" w:type="dxa"/>
            <w:vAlign w:val="center"/>
          </w:tcPr>
          <w:p>
            <w:pPr>
              <w:jc w:val="center"/>
              <w:rPr>
                <w:rFonts w:asciiTheme="minorEastAsia" w:hAnsiTheme="minorEastAsia"/>
                <w:sz w:val="28"/>
                <w:szCs w:val="28"/>
              </w:rPr>
            </w:pPr>
            <w:r>
              <w:rPr>
                <w:rFonts w:asciiTheme="minorEastAsia" w:hAnsiTheme="minorEastAsia" w:hint="eastAsia"/>
                <w:sz w:val="28"/>
                <w:szCs w:val="28"/>
              </w:rPr>
              <w:t>C</w:t>
            </w:r>
          </w:p>
        </w:tc>
        <w:tc>
          <w:tcPr>
            <w:tcW w:w="636"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A</w:t>
            </w:r>
          </w:p>
        </w:tc>
        <w:tc>
          <w:tcPr>
            <w:tcW w:w="532"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C</w:t>
            </w:r>
          </w:p>
        </w:tc>
        <w:tc>
          <w:tcPr>
            <w:tcW w:w="532"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D</w:t>
            </w:r>
          </w:p>
        </w:tc>
        <w:tc>
          <w:tcPr>
            <w:tcW w:w="532" w:type="dxa"/>
            <w:vAlign w:val="center"/>
          </w:tcPr>
          <w:p>
            <w:pPr>
              <w:jc w:val="center"/>
              <w:rPr>
                <w:rFonts w:asciiTheme="minorEastAsia" w:hAnsiTheme="minorEastAsia"/>
                <w:sz w:val="28"/>
                <w:szCs w:val="28"/>
              </w:rPr>
            </w:pPr>
            <w:r>
              <w:rPr>
                <w:rFonts w:asciiTheme="minorEastAsia" w:hAnsiTheme="minorEastAsia" w:hint="eastAsia"/>
                <w:sz w:val="28"/>
                <w:szCs w:val="28"/>
              </w:rPr>
              <w:t>D</w:t>
            </w:r>
          </w:p>
        </w:tc>
        <w:tc>
          <w:tcPr>
            <w:tcW w:w="532"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A</w:t>
            </w:r>
          </w:p>
        </w:tc>
        <w:tc>
          <w:tcPr>
            <w:tcW w:w="533"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D</w:t>
            </w:r>
          </w:p>
        </w:tc>
        <w:tc>
          <w:tcPr>
            <w:tcW w:w="533"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C</w:t>
            </w:r>
          </w:p>
        </w:tc>
        <w:tc>
          <w:tcPr>
            <w:tcW w:w="533" w:type="dxa"/>
            <w:vAlign w:val="center"/>
          </w:tcPr>
          <w:p>
            <w:pPr>
              <w:jc w:val="center"/>
              <w:rPr>
                <w:rFonts w:asciiTheme="minorEastAsia" w:hAnsiTheme="minorEastAsia"/>
                <w:sz w:val="28"/>
                <w:szCs w:val="28"/>
              </w:rPr>
            </w:pPr>
            <w:r>
              <w:rPr>
                <w:rFonts w:asciiTheme="minorEastAsia" w:hAnsiTheme="minorEastAsia" w:hint="eastAsia"/>
                <w:sz w:val="28"/>
                <w:szCs w:val="28"/>
              </w:rPr>
              <w:t>B</w:t>
            </w:r>
          </w:p>
        </w:tc>
        <w:tc>
          <w:tcPr>
            <w:tcW w:w="533" w:type="dxa"/>
            <w:vAlign w:val="center"/>
          </w:tcPr>
          <w:p>
            <w:pPr>
              <w:jc w:val="center"/>
              <w:rPr>
                <w:rFonts w:asciiTheme="minorEastAsia" w:hAnsiTheme="minorEastAsia"/>
                <w:sz w:val="28"/>
                <w:szCs w:val="28"/>
              </w:rPr>
            </w:pPr>
            <w:r>
              <w:rPr>
                <w:rFonts w:asciiTheme="minorEastAsia" w:hAnsiTheme="minorEastAsia" w:hint="eastAsia"/>
                <w:sz w:val="28"/>
                <w:szCs w:val="28"/>
              </w:rPr>
              <w:t>C</w:t>
            </w:r>
          </w:p>
        </w:tc>
        <w:tc>
          <w:tcPr>
            <w:tcW w:w="533"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B</w:t>
            </w:r>
          </w:p>
        </w:tc>
        <w:tc>
          <w:tcPr>
            <w:tcW w:w="533"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B</w:t>
            </w:r>
          </w:p>
        </w:tc>
        <w:tc>
          <w:tcPr>
            <w:tcW w:w="533"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D</w:t>
            </w:r>
          </w:p>
        </w:tc>
        <w:tc>
          <w:tcPr>
            <w:tcW w:w="636"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B</w:t>
            </w:r>
          </w:p>
        </w:tc>
        <w:tc>
          <w:tcPr>
            <w:tcW w:w="533" w:type="dxa"/>
            <w:vAlign w:val="center"/>
          </w:tcPr>
          <w:p>
            <w:pPr>
              <w:jc w:val="center"/>
              <w:rPr>
                <w:rFonts w:asciiTheme="minorEastAsia" w:eastAsiaTheme="minorEastAsia" w:hAnsiTheme="minorEastAsia" w:hint="eastAsia"/>
                <w:sz w:val="28"/>
                <w:szCs w:val="28"/>
                <w:lang w:eastAsia="zh-CN"/>
              </w:rPr>
            </w:pPr>
            <w:r>
              <w:rPr>
                <w:rFonts w:asciiTheme="minorEastAsia" w:hAnsiTheme="minorEastAsia" w:hint="eastAsia"/>
                <w:sz w:val="28"/>
                <w:szCs w:val="28"/>
                <w:lang w:val="en-US" w:eastAsia="zh-CN"/>
              </w:rPr>
              <w:t>A</w:t>
            </w:r>
          </w:p>
        </w:tc>
      </w:tr>
      <w:tr>
        <w:tblPrEx>
          <w:tblW w:w="0" w:type="auto"/>
          <w:tblInd w:w="0" w:type="dxa"/>
          <w:tblCellMar>
            <w:top w:w="0" w:type="dxa"/>
            <w:left w:w="108" w:type="dxa"/>
            <w:bottom w:w="0" w:type="dxa"/>
            <w:right w:w="108" w:type="dxa"/>
          </w:tblCellMar>
        </w:tblPrEx>
        <w:trPr>
          <w:gridAfter w:val="10"/>
          <w:wAfter w:w="5432" w:type="dxa"/>
          <w:trHeight w:hRule="exact" w:val="357"/>
        </w:trPr>
        <w:tc>
          <w:tcPr>
            <w:tcW w:w="636" w:type="dxa"/>
            <w:vAlign w:val="center"/>
          </w:tcPr>
          <w:p>
            <w:pPr>
              <w:jc w:val="center"/>
              <w:rPr>
                <w:rFonts w:asciiTheme="minorEastAsia" w:hAnsiTheme="minorEastAsia"/>
                <w:szCs w:val="21"/>
              </w:rPr>
            </w:pPr>
            <w:r>
              <w:rPr>
                <w:rFonts w:asciiTheme="minorEastAsia" w:hAnsiTheme="minorEastAsia" w:hint="eastAsia"/>
                <w:szCs w:val="21"/>
              </w:rPr>
              <w:t>16</w:t>
            </w:r>
          </w:p>
        </w:tc>
        <w:tc>
          <w:tcPr>
            <w:tcW w:w="636" w:type="dxa"/>
            <w:vAlign w:val="center"/>
          </w:tcPr>
          <w:p>
            <w:pPr>
              <w:jc w:val="center"/>
              <w:rPr>
                <w:rFonts w:asciiTheme="minorEastAsia" w:hAnsiTheme="minorEastAsia"/>
                <w:szCs w:val="21"/>
              </w:rPr>
            </w:pPr>
            <w:r>
              <w:rPr>
                <w:rFonts w:asciiTheme="minorEastAsia" w:hAnsiTheme="minorEastAsia" w:hint="eastAsia"/>
                <w:szCs w:val="21"/>
              </w:rPr>
              <w:t>17</w:t>
            </w:r>
          </w:p>
        </w:tc>
        <w:tc>
          <w:tcPr>
            <w:tcW w:w="532" w:type="dxa"/>
            <w:vAlign w:val="center"/>
          </w:tcPr>
          <w:p>
            <w:pPr>
              <w:jc w:val="center"/>
              <w:rPr>
                <w:rFonts w:asciiTheme="minorEastAsia" w:hAnsiTheme="minorEastAsia"/>
                <w:szCs w:val="21"/>
              </w:rPr>
            </w:pPr>
            <w:r>
              <w:rPr>
                <w:rFonts w:asciiTheme="minorEastAsia" w:hAnsiTheme="minorEastAsia" w:hint="eastAsia"/>
                <w:szCs w:val="21"/>
              </w:rPr>
              <w:t>18</w:t>
            </w:r>
          </w:p>
        </w:tc>
        <w:tc>
          <w:tcPr>
            <w:tcW w:w="532" w:type="dxa"/>
            <w:vAlign w:val="center"/>
          </w:tcPr>
          <w:p>
            <w:pPr>
              <w:jc w:val="center"/>
              <w:rPr>
                <w:rFonts w:asciiTheme="minorEastAsia" w:hAnsiTheme="minorEastAsia"/>
                <w:szCs w:val="21"/>
              </w:rPr>
            </w:pPr>
            <w:r>
              <w:rPr>
                <w:rFonts w:asciiTheme="minorEastAsia" w:hAnsiTheme="minorEastAsia" w:hint="eastAsia"/>
                <w:szCs w:val="21"/>
              </w:rPr>
              <w:t>19</w:t>
            </w:r>
          </w:p>
        </w:tc>
        <w:tc>
          <w:tcPr>
            <w:tcW w:w="532" w:type="dxa"/>
            <w:vAlign w:val="center"/>
          </w:tcPr>
          <w:p>
            <w:pPr>
              <w:jc w:val="center"/>
              <w:rPr>
                <w:rFonts w:asciiTheme="minorEastAsia" w:hAnsiTheme="minorEastAsia"/>
                <w:szCs w:val="21"/>
              </w:rPr>
            </w:pPr>
            <w:r>
              <w:rPr>
                <w:rFonts w:asciiTheme="minorEastAsia" w:hAnsiTheme="minorEastAsia" w:hint="eastAsia"/>
                <w:szCs w:val="21"/>
              </w:rPr>
              <w:t>20</w:t>
            </w:r>
          </w:p>
        </w:tc>
      </w:tr>
      <w:tr>
        <w:tblPrEx>
          <w:tblW w:w="0" w:type="auto"/>
          <w:tblInd w:w="0" w:type="dxa"/>
          <w:tblCellMar>
            <w:top w:w="0" w:type="dxa"/>
            <w:left w:w="108" w:type="dxa"/>
            <w:bottom w:w="0" w:type="dxa"/>
            <w:right w:w="108" w:type="dxa"/>
          </w:tblCellMar>
        </w:tblPrEx>
        <w:trPr>
          <w:gridAfter w:val="10"/>
          <w:wAfter w:w="5432" w:type="dxa"/>
          <w:trHeight w:val="284"/>
        </w:trPr>
        <w:tc>
          <w:tcPr>
            <w:tcW w:w="636" w:type="dxa"/>
            <w:vAlign w:val="center"/>
          </w:tcPr>
          <w:p>
            <w:pPr>
              <w:jc w:val="center"/>
              <w:rPr>
                <w:rFonts w:asciiTheme="minorEastAsia" w:hAnsiTheme="minorEastAsia"/>
                <w:sz w:val="28"/>
                <w:szCs w:val="28"/>
              </w:rPr>
            </w:pPr>
            <w:r>
              <w:rPr>
                <w:rFonts w:asciiTheme="minorEastAsia" w:hAnsiTheme="minorEastAsia" w:hint="eastAsia"/>
                <w:sz w:val="28"/>
                <w:szCs w:val="28"/>
                <w:lang w:val="en-US" w:eastAsia="zh-CN"/>
              </w:rPr>
              <w:t>AB</w:t>
            </w:r>
            <w:r>
              <w:rPr>
                <w:rFonts w:asciiTheme="minorEastAsia" w:hAnsiTheme="minorEastAsia" w:hint="eastAsia"/>
                <w:sz w:val="28"/>
                <w:szCs w:val="28"/>
              </w:rPr>
              <w:t>D</w:t>
            </w:r>
          </w:p>
        </w:tc>
        <w:tc>
          <w:tcPr>
            <w:tcW w:w="636" w:type="dxa"/>
            <w:vAlign w:val="center"/>
          </w:tcPr>
          <w:p>
            <w:pPr>
              <w:jc w:val="center"/>
              <w:rPr>
                <w:rFonts w:asciiTheme="minorEastAsia" w:hAnsiTheme="minorEastAsia"/>
                <w:sz w:val="28"/>
                <w:szCs w:val="28"/>
              </w:rPr>
            </w:pPr>
            <w:r>
              <w:rPr>
                <w:rFonts w:asciiTheme="minorEastAsia" w:hAnsiTheme="minorEastAsia" w:hint="eastAsia"/>
                <w:sz w:val="28"/>
                <w:szCs w:val="28"/>
                <w:lang w:val="en-US" w:eastAsia="zh-CN"/>
              </w:rPr>
              <w:t>AC</w:t>
            </w:r>
            <w:r>
              <w:rPr>
                <w:rFonts w:asciiTheme="minorEastAsia" w:hAnsiTheme="minorEastAsia" w:hint="eastAsia"/>
                <w:sz w:val="28"/>
                <w:szCs w:val="28"/>
              </w:rPr>
              <w:t>D</w:t>
            </w:r>
          </w:p>
        </w:tc>
        <w:tc>
          <w:tcPr>
            <w:tcW w:w="532" w:type="dxa"/>
            <w:vAlign w:val="center"/>
          </w:tcPr>
          <w:p>
            <w:pPr>
              <w:jc w:val="center"/>
              <w:rPr>
                <w:rFonts w:asciiTheme="minorEastAsia" w:eastAsiaTheme="minorEastAsia" w:hAnsiTheme="minorEastAsia" w:hint="eastAsia"/>
                <w:sz w:val="28"/>
                <w:szCs w:val="28"/>
                <w:lang w:val="en-US" w:eastAsia="zh-CN"/>
              </w:rPr>
            </w:pPr>
            <w:r>
              <w:rPr>
                <w:rFonts w:asciiTheme="minorEastAsia" w:hAnsiTheme="minorEastAsia" w:hint="eastAsia"/>
                <w:sz w:val="28"/>
                <w:szCs w:val="28"/>
              </w:rPr>
              <w:t>B</w:t>
            </w:r>
            <w:r>
              <w:rPr>
                <w:rFonts w:asciiTheme="minorEastAsia" w:hAnsiTheme="minorEastAsia" w:hint="eastAsia"/>
                <w:sz w:val="28"/>
                <w:szCs w:val="28"/>
                <w:lang w:val="en-US" w:eastAsia="zh-CN"/>
              </w:rPr>
              <w:t>D</w:t>
            </w:r>
          </w:p>
        </w:tc>
        <w:tc>
          <w:tcPr>
            <w:tcW w:w="532" w:type="dxa"/>
            <w:vAlign w:val="center"/>
          </w:tcPr>
          <w:p>
            <w:pPr>
              <w:jc w:val="center"/>
              <w:rPr>
                <w:rFonts w:asciiTheme="minorEastAsia" w:eastAsiaTheme="minorEastAsia" w:hAnsiTheme="minorEastAsia" w:hint="eastAsia"/>
                <w:sz w:val="28"/>
                <w:szCs w:val="28"/>
                <w:lang w:val="en-US" w:eastAsia="zh-CN"/>
              </w:rPr>
            </w:pPr>
            <w:r>
              <w:rPr>
                <w:rFonts w:asciiTheme="minorEastAsia" w:hAnsiTheme="minorEastAsia" w:hint="eastAsia"/>
                <w:sz w:val="28"/>
                <w:szCs w:val="28"/>
              </w:rPr>
              <w:t>A</w:t>
            </w:r>
            <w:r>
              <w:rPr>
                <w:rFonts w:asciiTheme="minorEastAsia" w:hAnsiTheme="minorEastAsia" w:hint="eastAsia"/>
                <w:sz w:val="28"/>
                <w:szCs w:val="28"/>
                <w:lang w:val="en-US" w:eastAsia="zh-CN"/>
              </w:rPr>
              <w:t>C</w:t>
            </w:r>
          </w:p>
        </w:tc>
        <w:tc>
          <w:tcPr>
            <w:tcW w:w="532" w:type="dxa"/>
            <w:vAlign w:val="center"/>
          </w:tcPr>
          <w:p>
            <w:pPr>
              <w:jc w:val="center"/>
              <w:rPr>
                <w:rFonts w:asciiTheme="minorEastAsia" w:eastAsiaTheme="minorEastAsia" w:hAnsiTheme="minorEastAsia" w:hint="eastAsia"/>
                <w:sz w:val="28"/>
                <w:szCs w:val="28"/>
                <w:lang w:val="en-US" w:eastAsia="zh-CN"/>
              </w:rPr>
            </w:pPr>
            <w:r>
              <w:rPr>
                <w:rFonts w:asciiTheme="minorEastAsia" w:hAnsiTheme="minorEastAsia" w:hint="eastAsia"/>
                <w:sz w:val="28"/>
                <w:szCs w:val="28"/>
              </w:rPr>
              <w:t>B</w:t>
            </w:r>
            <w:r>
              <w:rPr>
                <w:rFonts w:asciiTheme="minorEastAsia" w:hAnsiTheme="minorEastAsia" w:hint="eastAsia"/>
                <w:sz w:val="28"/>
                <w:szCs w:val="28"/>
                <w:lang w:val="en-US" w:eastAsia="zh-CN"/>
              </w:rPr>
              <w:t>C</w:t>
            </w:r>
          </w:p>
        </w:tc>
      </w:tr>
    </w:tbl>
    <w:p>
      <w:pPr>
        <w:jc w:val="center"/>
        <w:rPr>
          <w:b/>
        </w:rPr>
      </w:pPr>
    </w:p>
    <w:p>
      <w:pPr>
        <w:spacing w:line="288" w:lineRule="auto"/>
        <w:jc w:val="center"/>
        <w:rPr>
          <w:rFonts w:ascii="宋体" w:eastAsia="宋体" w:hAnsi="宋体" w:cs="宋体"/>
        </w:rPr>
      </w:pPr>
      <w:r>
        <w:rPr>
          <w:rFonts w:asciiTheme="minorEastAsia" w:hAnsiTheme="minorEastAsia" w:hint="eastAsia"/>
          <w:b/>
        </w:rPr>
        <w:t>第Ⅱ卷（非选择题</w:t>
      </w:r>
      <w:r>
        <w:rPr>
          <w:rFonts w:asciiTheme="minorEastAsia" w:hAnsiTheme="minorEastAsia"/>
          <w:b/>
        </w:rPr>
        <w:t xml:space="preserve"> </w:t>
      </w:r>
      <w:r>
        <w:rPr>
          <w:rFonts w:asciiTheme="minorEastAsia" w:hAnsiTheme="minorEastAsia" w:hint="eastAsia"/>
          <w:b/>
        </w:rPr>
        <w:t>共</w:t>
      </w:r>
      <w:r>
        <w:rPr>
          <w:rFonts w:asciiTheme="minorEastAsia" w:hAnsiTheme="minorEastAsia"/>
          <w:b/>
        </w:rPr>
        <w:t>5</w:t>
      </w:r>
      <w:r>
        <w:rPr>
          <w:rFonts w:asciiTheme="minorEastAsia" w:hAnsiTheme="minorEastAsia" w:hint="eastAsia"/>
          <w:b/>
          <w:lang w:val="en-US" w:eastAsia="zh-CN"/>
        </w:rPr>
        <w:t>0</w:t>
      </w:r>
      <w:r>
        <w:rPr>
          <w:rFonts w:asciiTheme="minorEastAsia" w:hAnsiTheme="minorEastAsia" w:hint="eastAsia"/>
          <w:b/>
        </w:rPr>
        <w:t>分）</w:t>
      </w: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rPr>
      </w:pPr>
      <w:r>
        <w:rPr>
          <w:rFonts w:ascii="宋体" w:eastAsia="宋体" w:hAnsi="宋体" w:cs="宋体" w:hint="eastAsia"/>
          <w:lang w:val="en-US" w:eastAsia="zh-CN"/>
        </w:rPr>
        <w:t>2</w:t>
      </w:r>
      <w:r>
        <w:rPr>
          <w:rFonts w:ascii="宋体" w:eastAsia="宋体" w:hAnsi="宋体" w:cs="宋体" w:hint="eastAsia"/>
        </w:rPr>
        <w:t>1.（</w:t>
      </w:r>
      <w:r>
        <w:rPr>
          <w:rFonts w:ascii="宋体" w:eastAsia="宋体" w:hAnsi="宋体" w:cs="宋体" w:hint="eastAsia"/>
          <w:lang w:val="en-US" w:eastAsia="zh-CN"/>
        </w:rPr>
        <w:t>11</w:t>
      </w:r>
      <w:r>
        <w:rPr>
          <w:rFonts w:ascii="宋体" w:eastAsia="宋体" w:hAnsi="宋体" w:cs="宋体" w:hint="eastAsia"/>
        </w:rPr>
        <w:t>分，</w:t>
      </w:r>
      <w:r>
        <w:rPr>
          <w:rFonts w:ascii="宋体" w:eastAsia="宋体" w:hAnsi="宋体" w:cs="宋体" w:hint="eastAsia"/>
          <w:lang w:val="en-US" w:eastAsia="zh-CN"/>
        </w:rPr>
        <w:t>除标注外</w:t>
      </w:r>
      <w:r>
        <w:rPr>
          <w:rFonts w:ascii="宋体" w:eastAsia="宋体" w:hAnsi="宋体" w:cs="宋体" w:hint="eastAsia"/>
        </w:rPr>
        <w:t>每空1分）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pPr>
      <w:r>
        <w:rPr>
          <w:rFonts w:ascii="宋体" w:eastAsia="宋体" w:hAnsi="宋体" w:cs="宋体" w:hint="eastAsia"/>
        </w:rPr>
        <w:t>（1）</w:t>
      </w:r>
      <w:r>
        <w:t>核糖体  核仁 蛋白质是生命活动的主要承担者，而核糖体是蛋白质合成的场所</w:t>
      </w:r>
      <w:r>
        <w:rPr>
          <w:rFonts w:ascii="宋体" w:eastAsia="宋体" w:hAnsi="宋体" w:cs="宋体" w:hint="eastAsia"/>
          <w:lang w:eastAsia="zh-CN"/>
        </w:rPr>
        <w:t>（</w:t>
      </w:r>
      <w:r>
        <w:rPr>
          <w:rFonts w:ascii="宋体" w:eastAsia="宋体" w:hAnsi="宋体" w:cs="宋体" w:hint="eastAsia"/>
          <w:lang w:val="en-US" w:eastAsia="zh-CN"/>
        </w:rPr>
        <w:t>2分</w:t>
      </w:r>
      <w:r>
        <w:rPr>
          <w:rFonts w:ascii="宋体" w:eastAsia="宋体" w:hAnsi="宋体" w:cs="宋体" w:hint="eastAsia"/>
          <w:lang w:eastAsia="zh-CN"/>
        </w:rPr>
        <w:t>）</w:t>
      </w:r>
      <w:r>
        <w:rPr>
          <w:rFonts w:ascii="宋体" w:eastAsia="宋体" w:hAnsi="宋体" w:cs="宋体" w:hint="eastAsia"/>
        </w:rPr>
        <w:t xml:space="preserve"> </w:t>
      </w:r>
      <w:r>
        <w:t xml:space="preserve">   </w:t>
      </w:r>
      <w:r>
        <w:rPr>
          <w:rFonts w:ascii="宋体" w:eastAsia="宋体" w:hAnsi="宋体" w:cs="宋体" w:hint="eastAsia"/>
          <w:lang w:eastAsia="zh-CN"/>
        </w:rPr>
        <w:t>（</w:t>
      </w:r>
      <w:r>
        <w:rPr>
          <w:rFonts w:ascii="宋体" w:eastAsia="宋体" w:hAnsi="宋体" w:cs="宋体" w:hint="eastAsia"/>
          <w:lang w:val="en-US" w:eastAsia="zh-CN"/>
        </w:rPr>
        <w:t>2</w:t>
      </w:r>
      <w:r>
        <w:rPr>
          <w:rFonts w:ascii="宋体" w:eastAsia="宋体" w:hAnsi="宋体" w:cs="宋体" w:hint="eastAsia"/>
          <w:lang w:eastAsia="zh-CN"/>
        </w:rPr>
        <w:t>）</w:t>
      </w:r>
      <w:r>
        <w:rPr>
          <w:rFonts w:ascii="宋体" w:eastAsia="宋体" w:hAnsi="宋体" w:cs="宋体" w:hint="eastAsia"/>
        </w:rPr>
        <w:t>CD</w:t>
      </w:r>
      <w:r>
        <w:rPr>
          <w:rFonts w:ascii="宋体" w:eastAsia="宋体" w:hAnsi="宋体" w:cs="宋体" w:hint="eastAsia"/>
          <w:lang w:eastAsia="zh-CN"/>
        </w:rPr>
        <w:t>（</w:t>
      </w:r>
      <w:r>
        <w:rPr>
          <w:rFonts w:ascii="宋体" w:eastAsia="宋体" w:hAnsi="宋体" w:cs="宋体" w:hint="eastAsia"/>
          <w:lang w:val="en-US" w:eastAsia="zh-CN"/>
        </w:rPr>
        <w:t>2分</w:t>
      </w:r>
      <w:r>
        <w:rPr>
          <w:rFonts w:ascii="宋体" w:eastAsia="宋体" w:hAnsi="宋体" w:cs="宋体" w:hint="eastAsia"/>
          <w:lang w:eastAsia="zh-CN"/>
        </w:rPr>
        <w:t>）</w:t>
      </w:r>
      <w:r>
        <w:rPr>
          <w:rFonts w:ascii="宋体" w:eastAsia="宋体" w:hAnsi="宋体" w:cs="宋体" w:hint="eastAsia"/>
        </w:rPr>
        <w:t xml:space="preserve"> </w:t>
      </w:r>
      <w: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pPr>
      <w:r>
        <w:rPr>
          <w:rFonts w:hint="eastAsia"/>
          <w:lang w:eastAsia="zh-CN"/>
        </w:rPr>
        <w:t>（</w:t>
      </w:r>
      <w:r>
        <w:rPr>
          <w:rFonts w:hint="eastAsia"/>
          <w:lang w:val="en-US" w:eastAsia="zh-CN"/>
        </w:rPr>
        <w:t>3</w:t>
      </w:r>
      <w:r>
        <w:rPr>
          <w:rFonts w:hint="eastAsia"/>
          <w:lang w:eastAsia="zh-CN"/>
        </w:rPr>
        <w:t>）</w:t>
      </w:r>
      <w:r>
        <w:t xml:space="preserve"> 内质网    囊泡    结构和功能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pPr>
      <w:r>
        <w:rPr>
          <w:rFonts w:ascii="宋体" w:eastAsia="宋体" w:hAnsi="宋体" w:cs="宋体" w:hint="eastAsia"/>
          <w:lang w:eastAsia="zh-CN"/>
        </w:rPr>
        <w:t>（</w:t>
      </w:r>
      <w:r>
        <w:rPr>
          <w:rFonts w:ascii="宋体" w:eastAsia="宋体" w:hAnsi="宋体" w:cs="宋体" w:hint="eastAsia"/>
          <w:lang w:val="en-US" w:eastAsia="zh-CN"/>
        </w:rPr>
        <w:t>4</w:t>
      </w:r>
      <w:r>
        <w:rPr>
          <w:rFonts w:ascii="宋体" w:eastAsia="宋体" w:hAnsi="宋体" w:cs="宋体" w:hint="eastAsia"/>
          <w:lang w:eastAsia="zh-CN"/>
        </w:rPr>
        <w:t>）</w:t>
      </w:r>
      <w:r>
        <w:rPr>
          <w:rFonts w:ascii="宋体" w:eastAsia="宋体" w:hAnsi="宋体" w:cs="宋体" w:hint="eastAsia"/>
        </w:rPr>
        <w:t xml:space="preserve">bc </w:t>
      </w:r>
      <w:r>
        <w:t xml:space="preserve">   同位素标记法（同位素示踪技术）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ascii="宋体" w:eastAsia="宋体" w:hAnsi="宋体" w:cs="宋体"/>
        </w:rPr>
      </w:pPr>
      <w:r>
        <w:rPr>
          <w:rFonts w:ascii="宋体" w:eastAsia="宋体" w:hAnsi="宋体" w:cs="宋体" w:hint="eastAsia"/>
          <w:lang w:val="en-US" w:eastAsia="zh-CN"/>
        </w:rPr>
        <w:t>2</w:t>
      </w:r>
      <w:r>
        <w:rPr>
          <w:rFonts w:ascii="宋体" w:eastAsia="宋体" w:hAnsi="宋体" w:cs="宋体" w:hint="eastAsia"/>
        </w:rPr>
        <w:t>2.（1</w:t>
      </w:r>
      <w:r>
        <w:rPr>
          <w:rFonts w:ascii="宋体" w:eastAsia="宋体" w:hAnsi="宋体" w:cs="宋体" w:hint="eastAsia"/>
          <w:lang w:val="en-US" w:eastAsia="zh-CN"/>
        </w:rPr>
        <w:t>2</w:t>
      </w:r>
      <w:r>
        <w:rPr>
          <w:rFonts w:ascii="宋体" w:eastAsia="宋体" w:hAnsi="宋体" w:cs="宋体" w:hint="eastAsia"/>
        </w:rPr>
        <w:t>分</w:t>
      </w:r>
      <w:r>
        <w:rPr>
          <w:rFonts w:ascii="宋体" w:eastAsia="宋体" w:hAnsi="宋体" w:cs="宋体" w:hint="eastAsia"/>
          <w:lang w:eastAsia="zh-CN"/>
        </w:rPr>
        <w:t>，</w:t>
      </w:r>
      <w:r>
        <w:rPr>
          <w:rFonts w:ascii="宋体" w:eastAsia="宋体" w:hAnsi="宋体" w:cs="宋体" w:hint="eastAsia"/>
          <w:lang w:val="en-US" w:eastAsia="zh-CN"/>
        </w:rPr>
        <w:t>除标注外</w:t>
      </w:r>
      <w:r>
        <w:rPr>
          <w:rFonts w:ascii="宋体" w:eastAsia="宋体" w:hAnsi="宋体" w:cs="宋体" w:hint="eastAsia"/>
        </w:rPr>
        <w:t>每空1分）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pPr>
      <w:r>
        <w:rPr>
          <w:rFonts w:hint="eastAsia"/>
          <w:lang w:eastAsia="zh-CN"/>
        </w:rPr>
        <w:t>（</w:t>
      </w:r>
      <w:r>
        <w:rPr>
          <w:rFonts w:hint="eastAsia"/>
          <w:lang w:val="en-US" w:eastAsia="zh-CN"/>
        </w:rPr>
        <w:t>1</w:t>
      </w:r>
      <w:r>
        <w:rPr>
          <w:rFonts w:hint="eastAsia"/>
          <w:lang w:eastAsia="zh-CN"/>
        </w:rPr>
        <w:t>）</w:t>
      </w:r>
      <w:r>
        <w:t xml:space="preserve">磷脂双分子层    </w:t>
      </w:r>
      <w:r>
        <w:rPr>
          <w:rFonts w:hint="eastAsia"/>
          <w:lang w:val="en-US" w:eastAsia="zh-CN"/>
        </w:rPr>
        <w:t>流动性</w:t>
      </w:r>
      <w: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pPr>
      <w:r>
        <w:rPr>
          <w:rFonts w:hint="eastAsia"/>
          <w:lang w:eastAsia="zh-CN"/>
        </w:rPr>
        <w:t>（</w:t>
      </w:r>
      <w:r>
        <w:rPr>
          <w:rFonts w:hint="eastAsia"/>
          <w:lang w:val="en-US" w:eastAsia="zh-CN"/>
        </w:rPr>
        <w:t>2</w:t>
      </w:r>
      <w:r>
        <w:rPr>
          <w:rFonts w:hint="eastAsia"/>
          <w:lang w:eastAsia="zh-CN"/>
        </w:rPr>
        <w:t>）</w:t>
      </w:r>
      <w:r>
        <w:t xml:space="preserve">高    逆浓度   </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pPr>
      <w:r>
        <w:rPr>
          <w:rFonts w:hint="eastAsia"/>
          <w:lang w:eastAsia="zh-CN"/>
        </w:rPr>
        <w:t>（</w:t>
      </w:r>
      <w:r>
        <w:rPr>
          <w:rFonts w:hint="eastAsia"/>
          <w:lang w:val="en-US" w:eastAsia="zh-CN"/>
        </w:rPr>
        <w:t>3</w:t>
      </w:r>
      <w:r>
        <w:rPr>
          <w:rFonts w:hint="eastAsia"/>
          <w:lang w:eastAsia="zh-CN"/>
        </w:rPr>
        <w:t>）</w:t>
      </w:r>
      <w:r>
        <w:t>选择透过性</w:t>
      </w:r>
      <w:r>
        <w:rPr>
          <w:rFonts w:ascii="宋体" w:eastAsia="宋体" w:hAnsi="宋体" w:cs="宋体" w:hint="eastAsia"/>
          <w:lang w:eastAsia="zh-CN"/>
        </w:rPr>
        <w:t>（</w:t>
      </w:r>
      <w:r>
        <w:rPr>
          <w:rFonts w:ascii="宋体" w:eastAsia="宋体" w:hAnsi="宋体" w:cs="宋体" w:hint="eastAsia"/>
          <w:lang w:val="en-US" w:eastAsia="zh-CN"/>
        </w:rPr>
        <w:t>2分</w:t>
      </w:r>
      <w:r>
        <w:rPr>
          <w:rFonts w:ascii="宋体" w:eastAsia="宋体" w:hAnsi="宋体" w:cs="宋体" w:hint="eastAsia"/>
          <w:lang w:eastAsia="zh-CN"/>
        </w:rPr>
        <w:t>）</w:t>
      </w:r>
      <w:r>
        <w:t xml:space="preserve">    </w:t>
      </w:r>
      <w:r>
        <w:rPr>
          <w:rFonts w:hint="eastAsia"/>
          <w:lang w:val="en-US" w:eastAsia="zh-CN"/>
        </w:rPr>
        <w:t>作为载体蛋白运输Na</w:t>
      </w:r>
      <w:r>
        <w:rPr>
          <w:rFonts w:hint="eastAsia"/>
          <w:vertAlign w:val="superscript"/>
          <w:lang w:val="en-US" w:eastAsia="zh-CN"/>
        </w:rPr>
        <w:t>+</w:t>
      </w:r>
      <w:r>
        <w:rPr>
          <w:rFonts w:hint="eastAsia"/>
          <w:vertAlign w:val="baseline"/>
          <w:lang w:val="en-US" w:eastAsia="zh-CN"/>
        </w:rPr>
        <w:t>和K</w:t>
      </w:r>
      <w:r>
        <w:rPr>
          <w:rFonts w:hint="eastAsia"/>
          <w:vertAlign w:val="superscript"/>
          <w:lang w:val="en-US" w:eastAsia="zh-CN"/>
        </w:rPr>
        <w:t>+</w:t>
      </w:r>
      <w:r>
        <w:rPr>
          <w:rFonts w:hint="eastAsia"/>
          <w:vertAlign w:val="baseline"/>
          <w:lang w:val="en-US" w:eastAsia="zh-CN"/>
        </w:rPr>
        <w:t>，作为酶催化ATP水解</w:t>
      </w:r>
      <w:r>
        <w:rPr>
          <w:rFonts w:ascii="宋体" w:eastAsia="宋体" w:hAnsi="宋体" w:cs="宋体" w:hint="eastAsia"/>
          <w:lang w:eastAsia="zh-CN"/>
        </w:rPr>
        <w:t>（</w:t>
      </w:r>
      <w:r>
        <w:rPr>
          <w:rFonts w:ascii="宋体" w:eastAsia="宋体" w:hAnsi="宋体" w:cs="宋体" w:hint="eastAsia"/>
          <w:lang w:val="en-US" w:eastAsia="zh-CN"/>
        </w:rPr>
        <w:t>2分</w:t>
      </w:r>
      <w:r>
        <w:rPr>
          <w:rFonts w:ascii="宋体" w:eastAsia="宋体" w:hAnsi="宋体" w:cs="宋体" w:hint="eastAsia"/>
          <w:lang w:eastAsia="zh-CN"/>
        </w:rPr>
        <w:t>）</w:t>
      </w:r>
      <w:r>
        <w:t xml:space="preserve">  </w:t>
      </w: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hint="eastAsia"/>
          <w:lang w:eastAsia="zh-CN"/>
        </w:rPr>
      </w:pPr>
      <w:r>
        <w:rPr>
          <w:rFonts w:hint="eastAsia"/>
          <w:lang w:eastAsia="zh-CN"/>
        </w:rPr>
        <w:t>（</w:t>
      </w:r>
      <w:r>
        <w:rPr>
          <w:rFonts w:hint="eastAsia"/>
          <w:lang w:val="en-US" w:eastAsia="zh-CN"/>
        </w:rPr>
        <w:t>4</w:t>
      </w:r>
      <w:r>
        <w:rPr>
          <w:rFonts w:hint="eastAsia"/>
          <w:lang w:eastAsia="zh-CN"/>
        </w:rPr>
        <w:t>）</w:t>
      </w:r>
      <w:r>
        <w:t>氧气和温度</w:t>
      </w:r>
      <w:r>
        <w:rPr>
          <w:rFonts w:ascii="宋体" w:eastAsia="宋体" w:hAnsi="宋体" w:cs="宋体" w:hint="eastAsia"/>
          <w:lang w:eastAsia="zh-CN"/>
        </w:rPr>
        <w:t>（</w:t>
      </w:r>
      <w:r>
        <w:rPr>
          <w:rFonts w:ascii="宋体" w:eastAsia="宋体" w:hAnsi="宋体" w:cs="宋体" w:hint="eastAsia"/>
          <w:lang w:val="en-US" w:eastAsia="zh-CN"/>
        </w:rPr>
        <w:t>2分</w:t>
      </w:r>
      <w:r>
        <w:rPr>
          <w:rFonts w:ascii="宋体" w:eastAsia="宋体" w:hAnsi="宋体" w:cs="宋体" w:hint="eastAsia"/>
          <w:lang w:eastAsia="zh-CN"/>
        </w:rPr>
        <w:t>）</w:t>
      </w:r>
      <w:r>
        <w:t xml:space="preserve">    </w:t>
      </w:r>
      <w:r>
        <w:rPr>
          <w:rFonts w:hint="eastAsia"/>
          <w:lang w:val="en-US" w:eastAsia="zh-CN"/>
        </w:rPr>
        <w:t>氧气和温度影响了</w:t>
      </w:r>
      <w:r>
        <w:rPr>
          <w:b w:val="0"/>
          <w:bCs/>
        </w:rPr>
        <w:t>细胞的</w:t>
      </w:r>
      <w:r>
        <w:t>有氧呼吸（呼吸强度）</w:t>
      </w:r>
      <w:r>
        <w:rPr>
          <w:b w:val="0"/>
          <w:bCs/>
        </w:rPr>
        <w:t>，影响能量的供应</w:t>
      </w:r>
      <w:r>
        <w:rPr>
          <w:rFonts w:hint="eastAsia"/>
          <w:b w:val="0"/>
          <w:bCs/>
          <w:lang w:val="en-US" w:eastAsia="zh-CN"/>
        </w:rPr>
        <w:t>进而影响钾离子的主动运输</w:t>
      </w:r>
      <w:r>
        <w:rPr>
          <w:rFonts w:ascii="宋体" w:eastAsia="宋体" w:hAnsi="宋体" w:cs="宋体" w:hint="eastAsia"/>
          <w:lang w:eastAsia="zh-CN"/>
        </w:rPr>
        <w:t>（</w:t>
      </w:r>
      <w:r>
        <w:rPr>
          <w:rFonts w:ascii="宋体" w:eastAsia="宋体" w:hAnsi="宋体" w:cs="宋体" w:hint="eastAsia"/>
          <w:lang w:val="en-US" w:eastAsia="zh-CN"/>
        </w:rPr>
        <w:t>2分</w:t>
      </w:r>
      <w:r>
        <w:rPr>
          <w:rFonts w:ascii="宋体" w:eastAsia="宋体" w:hAnsi="宋体" w:cs="宋体" w:hint="eastAsia"/>
          <w:lang w:eastAsia="zh-CN"/>
        </w:rPr>
        <w:t>）</w:t>
      </w: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hint="eastAsia"/>
          <w:lang w:val="en-US" w:eastAsia="zh-CN"/>
        </w:rPr>
      </w:pPr>
      <w:r>
        <w:rPr>
          <w:rFonts w:ascii="宋体" w:eastAsia="宋体" w:hAnsi="宋体" w:cs="宋体" w:hint="eastAsia"/>
          <w:lang w:val="en-US" w:eastAsia="zh-CN"/>
        </w:rPr>
        <w:t>23.（11分，除标注外每空2分）</w:t>
      </w:r>
    </w:p>
    <w:p>
      <w:pPr>
        <w:keepNext w:val="0"/>
        <w:keepLines w:val="0"/>
        <w:pageBreakBefore w:val="0"/>
        <w:widowControl w:val="0"/>
        <w:kinsoku/>
        <w:wordWrap/>
        <w:overflowPunct/>
        <w:topLinePunct w:val="0"/>
        <w:autoSpaceDE/>
        <w:autoSpaceDN/>
        <w:bidi w:val="0"/>
        <w:adjustRightInd/>
        <w:snapToGrid/>
        <w:spacing w:line="288" w:lineRule="auto"/>
      </w:pPr>
      <w:r>
        <w:rPr>
          <w:rFonts w:ascii="宋体" w:eastAsia="宋体" w:hAnsi="宋体" w:cs="宋体" w:hint="eastAsia"/>
          <w:lang w:val="en-US" w:eastAsia="zh-CN"/>
        </w:rPr>
        <w:t>（1）</w:t>
      </w:r>
      <w:r>
        <w:t xml:space="preserve">降低化学反应的活化能    维持溶液pH稳定    </w:t>
      </w:r>
    </w:p>
    <w:p>
      <w:pPr>
        <w:keepNext w:val="0"/>
        <w:keepLines w:val="0"/>
        <w:pageBreakBefore w:val="0"/>
        <w:widowControl w:val="0"/>
        <w:kinsoku/>
        <w:wordWrap/>
        <w:overflowPunct/>
        <w:topLinePunct w:val="0"/>
        <w:autoSpaceDE/>
        <w:autoSpaceDN/>
        <w:bidi w:val="0"/>
        <w:adjustRightInd/>
        <w:snapToGrid/>
        <w:spacing w:line="288" w:lineRule="auto"/>
      </w:pPr>
      <w:r>
        <w:rPr>
          <w:rFonts w:hint="eastAsia"/>
          <w:lang w:eastAsia="zh-CN"/>
        </w:rPr>
        <w:t>（</w:t>
      </w:r>
      <w:r>
        <w:rPr>
          <w:rFonts w:hint="eastAsia"/>
          <w:lang w:val="en-US" w:eastAsia="zh-CN"/>
        </w:rPr>
        <w:t>2</w:t>
      </w:r>
      <w:r>
        <w:rPr>
          <w:rFonts w:hint="eastAsia"/>
          <w:lang w:eastAsia="zh-CN"/>
        </w:rPr>
        <w:t>）</w:t>
      </w:r>
      <w:r>
        <w:t xml:space="preserve">消化酶A的化学本质是蛋白质    高温能使消化酶A失去活性  </w:t>
      </w: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hint="default"/>
          <w:lang w:val="en-US" w:eastAsia="zh-CN"/>
        </w:rPr>
      </w:pPr>
      <w:r>
        <w:rPr>
          <w:rFonts w:hint="eastAsia"/>
          <w:lang w:eastAsia="zh-CN"/>
        </w:rPr>
        <w:t>（</w:t>
      </w:r>
      <w:r>
        <w:rPr>
          <w:rFonts w:hint="eastAsia"/>
          <w:lang w:val="en-US" w:eastAsia="zh-CN"/>
        </w:rPr>
        <w:t>3</w:t>
      </w:r>
      <w:r>
        <w:rPr>
          <w:rFonts w:hint="eastAsia"/>
          <w:lang w:eastAsia="zh-CN"/>
        </w:rPr>
        <w:t>）</w:t>
      </w:r>
      <w:r>
        <w:t xml:space="preserve"> </w:t>
      </w:r>
      <w:r>
        <w:rPr>
          <w:rFonts w:hint="eastAsia"/>
          <w:lang w:val="en-US" w:eastAsia="zh-CN"/>
        </w:rPr>
        <w:t>Pb</w:t>
      </w:r>
      <w:r>
        <w:rPr>
          <w:rFonts w:hint="eastAsia"/>
          <w:vertAlign w:val="superscript"/>
          <w:lang w:val="en-US" w:eastAsia="zh-CN"/>
        </w:rPr>
        <w:t>2+</w:t>
      </w:r>
      <w:r>
        <w:t>占据</w:t>
      </w:r>
      <w:r>
        <w:rPr>
          <w:rFonts w:hint="eastAsia"/>
          <w:lang w:val="en-US" w:eastAsia="zh-CN"/>
        </w:rPr>
        <w:t>Ca</w:t>
      </w:r>
      <w:r>
        <w:rPr>
          <w:rFonts w:hint="eastAsia"/>
          <w:vertAlign w:val="superscript"/>
          <w:lang w:val="en-US" w:eastAsia="zh-CN"/>
        </w:rPr>
        <w:t>2+</w:t>
      </w:r>
      <w:r>
        <w:t xml:space="preserve">的结合位点，使消化酶A的空间结构改变导致其活性丧失（只要能体现 </w:t>
      </w:r>
      <w:r>
        <w:rPr>
          <w:rFonts w:hint="eastAsia"/>
          <w:lang w:val="en-US" w:eastAsia="zh-CN"/>
        </w:rPr>
        <w:t>Pb</w:t>
      </w:r>
      <w:r>
        <w:rPr>
          <w:rFonts w:hint="eastAsia"/>
          <w:vertAlign w:val="superscript"/>
          <w:lang w:val="en-US" w:eastAsia="zh-CN"/>
        </w:rPr>
        <w:t>2+</w:t>
      </w:r>
      <w:r>
        <w:t>使</w:t>
      </w:r>
      <w:r>
        <w:rPr>
          <w:rFonts w:hint="eastAsia"/>
          <w:lang w:val="en-US" w:eastAsia="zh-CN"/>
        </w:rPr>
        <w:t>Ca</w:t>
      </w:r>
      <w:r>
        <w:rPr>
          <w:rFonts w:hint="eastAsia"/>
          <w:vertAlign w:val="superscript"/>
          <w:lang w:val="en-US" w:eastAsia="zh-CN"/>
        </w:rPr>
        <w:t>2+</w:t>
      </w:r>
      <w:r>
        <w:t>不能与</w:t>
      </w:r>
      <w:r>
        <w:rPr>
          <w:rFonts w:hint="eastAsia"/>
          <w:lang w:val="en-US" w:eastAsia="zh-CN"/>
        </w:rPr>
        <w:t>Ca</w:t>
      </w:r>
      <w:r>
        <w:rPr>
          <w:rFonts w:hint="eastAsia"/>
          <w:vertAlign w:val="superscript"/>
          <w:lang w:val="en-US" w:eastAsia="zh-CN"/>
        </w:rPr>
        <w:t>2+</w:t>
      </w:r>
      <w:r>
        <w:t>结合位点相结合，从而不能发挥催化作用即可）</w:t>
      </w:r>
      <w:r>
        <w:rPr>
          <w:rFonts w:hint="eastAsia"/>
          <w:lang w:eastAsia="zh-CN"/>
        </w:rPr>
        <w:t>（</w:t>
      </w:r>
      <w:r>
        <w:rPr>
          <w:rFonts w:hint="eastAsia"/>
          <w:lang w:val="en-US" w:eastAsia="zh-CN"/>
        </w:rPr>
        <w:t>3分</w:t>
      </w:r>
      <w:r>
        <w:rPr>
          <w:rFonts w:hint="eastAsia"/>
          <w:lang w:eastAsia="zh-CN"/>
        </w:rPr>
        <w:t>）</w:t>
      </w:r>
      <w:r>
        <w:t xml:space="preserve">  </w:t>
      </w: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hint="eastAsia"/>
        </w:rPr>
      </w:pPr>
      <w:r>
        <w:rPr>
          <w:rFonts w:ascii="宋体" w:eastAsia="宋体" w:hAnsi="宋体" w:cs="宋体" w:hint="eastAsia"/>
          <w:lang w:val="en-US" w:eastAsia="zh-CN"/>
        </w:rPr>
        <w:t>24</w:t>
      </w:r>
      <w:r>
        <w:rPr>
          <w:rFonts w:ascii="宋体" w:eastAsia="宋体" w:hAnsi="宋体" w:cs="宋体" w:hint="eastAsia"/>
        </w:rPr>
        <w:t>.（1</w:t>
      </w:r>
      <w:r>
        <w:rPr>
          <w:rFonts w:ascii="宋体" w:eastAsia="宋体" w:hAnsi="宋体" w:cs="宋体" w:hint="eastAsia"/>
          <w:lang w:val="en-US" w:eastAsia="zh-CN"/>
        </w:rPr>
        <w:t>6</w:t>
      </w:r>
      <w:r>
        <w:rPr>
          <w:rFonts w:ascii="宋体" w:eastAsia="宋体" w:hAnsi="宋体" w:cs="宋体" w:hint="eastAsia"/>
        </w:rPr>
        <w:t>分</w:t>
      </w:r>
      <w:r>
        <w:rPr>
          <w:rFonts w:ascii="宋体" w:eastAsia="宋体" w:hAnsi="宋体" w:cs="宋体" w:hint="eastAsia"/>
          <w:lang w:eastAsia="zh-CN"/>
        </w:rPr>
        <w:t>，</w:t>
      </w:r>
      <w:r>
        <w:rPr>
          <w:rFonts w:ascii="宋体" w:eastAsia="宋体" w:hAnsi="宋体" w:cs="宋体" w:hint="eastAsia"/>
          <w:lang w:val="en-US" w:eastAsia="zh-CN"/>
        </w:rPr>
        <w:t>每空2分</w:t>
      </w:r>
      <w:r>
        <w:rPr>
          <w:rFonts w:ascii="宋体" w:eastAsia="宋体" w:hAnsi="宋体" w:cs="宋体" w:hint="eastAsia"/>
        </w:rPr>
        <w:t>）</w:t>
      </w:r>
    </w:p>
    <w:p>
      <w:pPr>
        <w:keepNext w:val="0"/>
        <w:keepLines w:val="0"/>
        <w:pageBreakBefore w:val="0"/>
        <w:widowControl w:val="0"/>
        <w:kinsoku/>
        <w:wordWrap/>
        <w:overflowPunct/>
        <w:topLinePunct w:val="0"/>
        <w:autoSpaceDE/>
        <w:autoSpaceDN/>
        <w:bidi w:val="0"/>
        <w:adjustRightInd/>
        <w:snapToGrid/>
        <w:spacing w:line="288" w:lineRule="auto"/>
      </w:pPr>
      <w:r>
        <w:rPr>
          <w:rFonts w:ascii="宋体" w:eastAsia="宋体" w:hAnsi="宋体" w:cs="宋体" w:hint="eastAsia"/>
          <w:lang w:eastAsia="zh-CN"/>
        </w:rPr>
        <w:t>（</w:t>
      </w:r>
      <w:r>
        <w:rPr>
          <w:rFonts w:ascii="宋体" w:eastAsia="宋体" w:hAnsi="宋体" w:cs="宋体" w:hint="eastAsia"/>
          <w:lang w:val="en-US" w:eastAsia="zh-CN"/>
        </w:rPr>
        <w:t>1</w:t>
      </w:r>
      <w:r>
        <w:rPr>
          <w:rFonts w:ascii="宋体" w:eastAsia="宋体" w:hAnsi="宋体" w:cs="宋体" w:hint="eastAsia"/>
          <w:lang w:eastAsia="zh-CN"/>
        </w:rPr>
        <w:t>）</w:t>
      </w:r>
      <w:r>
        <w:t>类囊体薄膜    无水乙醇</w:t>
      </w:r>
    </w:p>
    <w:p>
      <w:pPr>
        <w:keepNext w:val="0"/>
        <w:keepLines w:val="0"/>
        <w:pageBreakBefore w:val="0"/>
        <w:widowControl w:val="0"/>
        <w:kinsoku/>
        <w:wordWrap/>
        <w:overflowPunct/>
        <w:topLinePunct w:val="0"/>
        <w:autoSpaceDE/>
        <w:autoSpaceDN/>
        <w:bidi w:val="0"/>
        <w:adjustRightInd/>
        <w:snapToGrid/>
        <w:spacing w:line="288" w:lineRule="auto"/>
        <w:rPr>
          <w:rFonts w:eastAsiaTheme="minorEastAsia" w:hint="default"/>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2125345</wp:posOffset>
                </wp:positionH>
                <wp:positionV relativeFrom="paragraph">
                  <wp:posOffset>118110</wp:posOffset>
                </wp:positionV>
                <wp:extent cx="652780" cy="462280"/>
                <wp:effectExtent l="0" t="0" r="0" b="0"/>
                <wp:wrapNone/>
                <wp:docPr id="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5006340" y="6503670"/>
                          <a:ext cx="652780" cy="46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6"/>
                                <w:szCs w:val="20"/>
                                <w:lang w:val="en-US" w:eastAsia="zh-CN"/>
                              </w:rPr>
                            </w:pPr>
                            <w:r>
                              <w:rPr>
                                <w:rFonts w:hint="eastAsia"/>
                                <w:sz w:val="16"/>
                                <w:szCs w:val="20"/>
                                <w:lang w:val="en-US" w:eastAsia="zh-CN"/>
                              </w:rPr>
                              <w:t>光能</w:t>
                            </w:r>
                          </w:p>
                          <w:p>
                            <w:pPr>
                              <w:rPr>
                                <w:rFonts w:hint="default"/>
                                <w:sz w:val="16"/>
                                <w:szCs w:val="20"/>
                                <w:lang w:val="en-US" w:eastAsia="zh-CN"/>
                              </w:rPr>
                            </w:pPr>
                            <w:r>
                              <w:rPr>
                                <w:rFonts w:hint="eastAsia"/>
                                <w:sz w:val="16"/>
                                <w:szCs w:val="20"/>
                                <w:lang w:val="en-US" w:eastAsia="zh-CN"/>
                              </w:rPr>
                              <w:t>叶绿体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5" type="#_x0000_t202" style="width:51.4pt;height:36.4pt;margin-top:9.3pt;margin-left:167.35pt;mso-height-relative:page;mso-width-relative:page;position:absolute;z-index:251664384" coordsize="21600,21600" filled="f" stroked="f">
                <o:lock v:ext="edit" aspectratio="f"/>
                <v:textbox>
                  <w:txbxContent>
                    <w:p>
                      <w:pPr>
                        <w:rPr>
                          <w:rFonts w:hint="eastAsia"/>
                          <w:sz w:val="16"/>
                          <w:szCs w:val="20"/>
                          <w:lang w:val="en-US" w:eastAsia="zh-CN"/>
                        </w:rPr>
                      </w:pPr>
                      <w:r>
                        <w:rPr>
                          <w:rFonts w:hint="eastAsia"/>
                          <w:sz w:val="16"/>
                          <w:szCs w:val="20"/>
                          <w:lang w:val="en-US" w:eastAsia="zh-CN"/>
                        </w:rPr>
                        <w:t>光能</w:t>
                      </w:r>
                    </w:p>
                    <w:p>
                      <w:pPr>
                        <w:rPr>
                          <w:rFonts w:hint="default"/>
                          <w:sz w:val="16"/>
                          <w:szCs w:val="20"/>
                          <w:lang w:val="en-US" w:eastAsia="zh-CN"/>
                        </w:rPr>
                      </w:pPr>
                      <w:r>
                        <w:rPr>
                          <w:rFonts w:hint="eastAsia"/>
                          <w:sz w:val="16"/>
                          <w:szCs w:val="20"/>
                          <w:lang w:val="en-US" w:eastAsia="zh-CN"/>
                        </w:rPr>
                        <w:t>叶绿体</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2069465</wp:posOffset>
                </wp:positionH>
                <wp:positionV relativeFrom="paragraph">
                  <wp:posOffset>364490</wp:posOffset>
                </wp:positionV>
                <wp:extent cx="777875" cy="8255"/>
                <wp:effectExtent l="0" t="48260" r="3175" b="57785"/>
                <wp:wrapNone/>
                <wp:docPr id="1" name="直接箭头连接符 1"/>
                <wp:cNvGraphicFramePr/>
                <a:graphic xmlns:a="http://schemas.openxmlformats.org/drawingml/2006/main">
                  <a:graphicData uri="http://schemas.microsoft.com/office/word/2010/wordprocessingShape">
                    <wps:wsp xmlns:wps="http://schemas.microsoft.com/office/word/2010/wordprocessingShape">
                      <wps:cNvCnPr/>
                      <wps:spPr>
                        <a:xfrm flipV="1">
                          <a:off x="4006215" y="6463665"/>
                          <a:ext cx="77787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_x0000_s1026" o:spid="_x0000_s1026" type="#_x0000_t32" style="width:61.25pt;height:0.65pt;margin-top:28.7pt;margin-left:162.95pt;flip:y;mso-height-relative:page;mso-width-relative:page;position:absolute;z-index:251666432" coordsize="21600,21600" filled="f" stroked="t" strokecolor="black">
                <v:stroke joinstyle="round" endarrow="open"/>
                <o:lock v:ext="edit" aspectratio="f"/>
              </v:shape>
            </w:pict>
          </mc:Fallback>
        </mc:AlternateContent>
      </w:r>
      <w:r>
        <w:rPr>
          <w:rFonts w:hint="eastAsia"/>
          <w:lang w:eastAsia="zh-CN"/>
        </w:rPr>
        <w:t>（</w:t>
      </w:r>
      <w:r>
        <w:rPr>
          <w:rFonts w:hint="eastAsia"/>
          <w:lang w:val="en-US" w:eastAsia="zh-CN"/>
        </w:rPr>
        <w:t>2</w:t>
      </w:r>
      <w:r>
        <w:rPr>
          <w:rFonts w:hint="eastAsia"/>
          <w:lang w:eastAsia="zh-CN"/>
        </w:rPr>
        <w:t>）</w:t>
      </w:r>
      <w:r>
        <w:t xml:space="preserve">温度升高，呼吸作用增强，光合速率与呼吸速率差值减小    适当降低温度   18:00   </w:t>
      </w:r>
      <w:r>
        <w:rPr>
          <w:rFonts w:hint="eastAsia"/>
          <w:lang w:eastAsia="zh-CN"/>
        </w:rPr>
        <w:t>（</w:t>
      </w:r>
      <w:r>
        <w:rPr>
          <w:rFonts w:hint="eastAsia"/>
          <w:lang w:val="en-US" w:eastAsia="zh-CN"/>
        </w:rPr>
        <w:t>3</w:t>
      </w:r>
      <w:r>
        <w:rPr>
          <w:rFonts w:hint="eastAsia"/>
          <w:lang w:eastAsia="zh-CN"/>
        </w:rPr>
        <w:t>）</w:t>
      </w:r>
      <w:r>
        <w:t>增加    减少</w:t>
      </w:r>
      <w:r>
        <w:rPr>
          <w:rFonts w:hint="eastAsia"/>
          <w:lang w:val="en-US" w:eastAsia="zh-CN"/>
        </w:rPr>
        <w:t xml:space="preserve">      CO</w:t>
      </w:r>
      <w:r>
        <w:rPr>
          <w:rFonts w:hint="eastAsia"/>
          <w:vertAlign w:val="subscript"/>
          <w:lang w:val="en-US" w:eastAsia="zh-CN"/>
        </w:rPr>
        <w:t>2</w:t>
      </w:r>
      <w:r>
        <w:rPr>
          <w:rFonts w:hint="eastAsia"/>
          <w:lang w:val="en-US" w:eastAsia="zh-CN"/>
        </w:rPr>
        <w:t>+H</w:t>
      </w:r>
      <w:r>
        <w:rPr>
          <w:rFonts w:hint="eastAsia"/>
          <w:vertAlign w:val="subscript"/>
          <w:lang w:val="en-US" w:eastAsia="zh-CN"/>
        </w:rPr>
        <w:t>2</w:t>
      </w:r>
      <w:r>
        <w:rPr>
          <w:rFonts w:hint="eastAsia"/>
          <w:lang w:val="en-US" w:eastAsia="zh-CN"/>
        </w:rPr>
        <w:t>O</w:t>
      </w:r>
      <w:r>
        <w:t xml:space="preserve"> </w:t>
      </w:r>
      <w:r>
        <w:rPr>
          <w:rFonts w:hint="eastAsia"/>
          <w:lang w:val="en-US" w:eastAsia="zh-CN"/>
        </w:rPr>
        <w:t xml:space="preserve">           （CH</w:t>
      </w:r>
      <w:r>
        <w:rPr>
          <w:rFonts w:hint="eastAsia"/>
          <w:vertAlign w:val="subscript"/>
          <w:lang w:val="en-US" w:eastAsia="zh-CN"/>
        </w:rPr>
        <w:t>2</w:t>
      </w:r>
      <w:r>
        <w:rPr>
          <w:rFonts w:hint="eastAsia"/>
          <w:lang w:val="en-US" w:eastAsia="zh-CN"/>
        </w:rPr>
        <w:t>O）+O</w:t>
      </w:r>
      <w:r>
        <w:rPr>
          <w:rFonts w:hint="eastAsia"/>
          <w:vertAlign w:val="subscript"/>
          <w:lang w:val="en-US" w:eastAsia="zh-CN"/>
        </w:rPr>
        <w:t>2</w:t>
      </w:r>
      <w:bookmarkStart w:id="2" w:name="_GoBack"/>
      <w:bookmarkEnd w:id="2"/>
    </w:p>
    <w:sectPr>
      <w:headerReference w:type="even" r:id="rId18"/>
      <w:footerReference w:type="even" r:id="rId19"/>
      <w:headerReference w:type="first" r:id="rId20"/>
      <w:footerReference w:type="first" r:id="rId21"/>
      <w:pgSz w:w="10319" w:h="14571"/>
      <w:pgMar w:top="1134" w:right="1134" w:bottom="1134" w:left="1134"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Time New Romans">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drawing>
        <wp:anchor simplePos="0" relativeHeight="251658240" behindDoc="0" locked="0" layoutInCell="1" allowOverlap="1">
          <wp:simplePos x="0" y="0"/>
          <wp:positionH relativeFrom="page">
            <wp:posOffset>127000</wp:posOffset>
          </wp:positionH>
          <wp:positionV relativeFrom="page">
            <wp:posOffset>12700000</wp:posOffset>
          </wp:positionV>
          <wp:extent cx="317500" cy="228600"/>
          <wp:wrapNone/>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159801" name=""/>
                  <pic:cNvPicPr>
                    <a:picLocks noChangeAspect="1"/>
                  </pic:cNvPicPr>
                </pic:nvPicPr>
                <pic:blipFill>
                  <a:blip xmlns:r="http://schemas.openxmlformats.org/officeDocument/2006/relationships"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E7280A"/>
    <w:rsid w:val="00063CC7"/>
    <w:rsid w:val="000C281E"/>
    <w:rsid w:val="00266BA4"/>
    <w:rsid w:val="002812BF"/>
    <w:rsid w:val="003F3354"/>
    <w:rsid w:val="004D717A"/>
    <w:rsid w:val="00560C49"/>
    <w:rsid w:val="0058208D"/>
    <w:rsid w:val="005C6587"/>
    <w:rsid w:val="005E665C"/>
    <w:rsid w:val="00773FB1"/>
    <w:rsid w:val="007853E8"/>
    <w:rsid w:val="007D0A18"/>
    <w:rsid w:val="007D7AF8"/>
    <w:rsid w:val="009D6947"/>
    <w:rsid w:val="009E693C"/>
    <w:rsid w:val="00A7531E"/>
    <w:rsid w:val="00AF32F2"/>
    <w:rsid w:val="00B65BDA"/>
    <w:rsid w:val="00CC6BC1"/>
    <w:rsid w:val="00D40D48"/>
    <w:rsid w:val="06F164EF"/>
    <w:rsid w:val="099A5140"/>
    <w:rsid w:val="0A0D0048"/>
    <w:rsid w:val="0E0001D0"/>
    <w:rsid w:val="10855652"/>
    <w:rsid w:val="11283E70"/>
    <w:rsid w:val="151D39A4"/>
    <w:rsid w:val="1B5521C7"/>
    <w:rsid w:val="1D597DCA"/>
    <w:rsid w:val="1DFC68EA"/>
    <w:rsid w:val="21292543"/>
    <w:rsid w:val="22DB01A2"/>
    <w:rsid w:val="24991DCF"/>
    <w:rsid w:val="29ED0321"/>
    <w:rsid w:val="2B213C58"/>
    <w:rsid w:val="2B5F54F3"/>
    <w:rsid w:val="2B9B3ABD"/>
    <w:rsid w:val="33DE6734"/>
    <w:rsid w:val="37C253E2"/>
    <w:rsid w:val="3E6A1CF8"/>
    <w:rsid w:val="42D82FCE"/>
    <w:rsid w:val="42FC70A7"/>
    <w:rsid w:val="44F378C3"/>
    <w:rsid w:val="47D76BAD"/>
    <w:rsid w:val="49E24AAF"/>
    <w:rsid w:val="4B9747CC"/>
    <w:rsid w:val="4ED35932"/>
    <w:rsid w:val="4F203D55"/>
    <w:rsid w:val="50037430"/>
    <w:rsid w:val="50874E04"/>
    <w:rsid w:val="50903BF9"/>
    <w:rsid w:val="54EF2149"/>
    <w:rsid w:val="58281821"/>
    <w:rsid w:val="58B46D24"/>
    <w:rsid w:val="5BD55B69"/>
    <w:rsid w:val="5CE7280A"/>
    <w:rsid w:val="5E820415"/>
    <w:rsid w:val="626A0621"/>
    <w:rsid w:val="65054357"/>
    <w:rsid w:val="65444CA9"/>
    <w:rsid w:val="6C7012DA"/>
    <w:rsid w:val="6E056252"/>
    <w:rsid w:val="70EF6B8F"/>
    <w:rsid w:val="736104F0"/>
    <w:rsid w:val="749A5CB8"/>
    <w:rsid w:val="75393D31"/>
    <w:rsid w:val="765747FC"/>
    <w:rsid w:val="7B156520"/>
    <w:rsid w:val="7C150903"/>
    <w:rsid w:val="7FFD01C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qFormat="1"/>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
    <w:qFormat/>
    <w:rPr>
      <w:sz w:val="18"/>
      <w:szCs w:val="18"/>
    </w:rPr>
  </w:style>
  <w:style w:type="paragraph" w:styleId="Footer">
    <w:name w:val="footer"/>
    <w:basedOn w:val="Normal"/>
    <w:link w:val="Char1"/>
    <w:uiPriority w:val="99"/>
    <w:qFormat/>
    <w:pPr>
      <w:tabs>
        <w:tab w:val="center" w:pos="4153"/>
        <w:tab w:val="right" w:pos="8306"/>
      </w:tabs>
      <w:snapToGrid w:val="0"/>
      <w:jc w:val="left"/>
    </w:pPr>
    <w:rPr>
      <w:sz w:val="18"/>
      <w:szCs w:val="18"/>
    </w:rPr>
  </w:style>
  <w:style w:type="paragraph" w:styleId="Header">
    <w:name w:val="header"/>
    <w:basedOn w:val="Normal"/>
    <w:link w:val="Char0"/>
    <w:qFormat/>
    <w:pPr>
      <w:pBdr>
        <w:bottom w:val="single" w:sz="6" w:space="1" w:color="auto"/>
      </w:pBdr>
      <w:tabs>
        <w:tab w:val="center" w:pos="4153"/>
        <w:tab w:val="right" w:pos="8306"/>
      </w:tabs>
      <w:snapToGrid w:val="0"/>
      <w:jc w:val="center"/>
    </w:pPr>
    <w:rPr>
      <w:sz w:val="18"/>
      <w:szCs w:val="18"/>
    </w:rPr>
  </w:style>
  <w:style w:type="paragraph" w:styleId="NormalWeb">
    <w:name w:val="Normal (Web)"/>
    <w:qFormat/>
    <w:pPr>
      <w:widowControl/>
      <w:spacing w:before="100" w:beforeAutospacing="1" w:after="100" w:afterAutospacing="1" w:line="312" w:lineRule="auto"/>
      <w:jc w:val="left"/>
    </w:pPr>
    <w:rPr>
      <w:rFonts w:ascii="宋体" w:eastAsia="宋体" w:hAnsi="宋体" w:cs="Times New Roman"/>
      <w:kern w:val="0"/>
      <w:sz w:val="22"/>
      <w:szCs w:val="22"/>
      <w:lang w:val="en-US" w:eastAsia="zh-CN" w:bidi="ar-SA"/>
    </w:rPr>
  </w:style>
  <w:style w:type="character" w:styleId="Emphasis">
    <w:name w:val="Emphasis"/>
    <w:basedOn w:val="DefaultParagraphFont"/>
    <w:qFormat/>
    <w:rPr>
      <w:i/>
    </w:rPr>
  </w:style>
  <w:style w:type="paragraph" w:customStyle="1" w:styleId="0">
    <w:name w:val="正文_0"/>
    <w:qFormat/>
    <w:pPr>
      <w:widowControl w:val="0"/>
      <w:jc w:val="both"/>
    </w:pPr>
    <w:rPr>
      <w:rFonts w:ascii="Calibri" w:eastAsia="宋体" w:hAnsi="Calibri" w:cs="Times New Roman"/>
      <w:kern w:val="2"/>
      <w:sz w:val="21"/>
      <w:szCs w:val="24"/>
      <w:lang w:val="en-US" w:eastAsia="zh-CN" w:bidi="ar-SA"/>
    </w:rPr>
  </w:style>
  <w:style w:type="character" w:customStyle="1" w:styleId="Char">
    <w:name w:val="批注框文本 Char"/>
    <w:basedOn w:val="DefaultParagraphFont"/>
    <w:link w:val="BalloonText"/>
    <w:qFormat/>
    <w:rPr>
      <w:rFonts w:ascii="Calibri" w:hAnsi="Calibri"/>
      <w:kern w:val="2"/>
      <w:sz w:val="18"/>
      <w:szCs w:val="18"/>
    </w:rPr>
  </w:style>
  <w:style w:type="character" w:customStyle="1" w:styleId="Char0">
    <w:name w:val="页眉 Char"/>
    <w:basedOn w:val="DefaultParagraphFont"/>
    <w:link w:val="Header"/>
    <w:qFormat/>
    <w:rPr>
      <w:rFonts w:ascii="Calibri" w:hAnsi="Calibri"/>
      <w:kern w:val="2"/>
      <w:sz w:val="18"/>
      <w:szCs w:val="18"/>
    </w:rPr>
  </w:style>
  <w:style w:type="character" w:customStyle="1" w:styleId="Char1">
    <w:name w:val="页脚 Char"/>
    <w:basedOn w:val="DefaultParagraphFont"/>
    <w:link w:val="Footer"/>
    <w:uiPriority w:val="99"/>
    <w:qFormat/>
    <w:rPr>
      <w:rFonts w:ascii="Calibri" w:hAnsi="Calibri"/>
      <w:kern w:val="2"/>
      <w:sz w:val="18"/>
      <w:szCs w:val="18"/>
    </w:rPr>
  </w:style>
  <w:style w:type="paragraph" w:customStyle="1" w:styleId="Normal143">
    <w:name w:val="Normal_1_43"/>
    <w:qFormat/>
    <w:pPr>
      <w:widowControl w:val="0"/>
      <w:jc w:val="both"/>
    </w:pPr>
    <w:rPr>
      <w:rFonts w:ascii="Time New Romans" w:eastAsia="宋体" w:hAnsi="Time New Romans" w:cs="Times New Roman"/>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14.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5533</Words>
  <Characters>6713</Characters>
  <Application>Microsoft Office Word</Application>
  <DocSecurity>0</DocSecurity>
  <Lines>13</Lines>
  <Paragraphs>17</Paragraphs>
  <ScaleCrop>false</ScaleCrop>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2020-11-07T01:11:00Z</cp:lastPrinted>
  <dcterms:created xsi:type="dcterms:W3CDTF">2020-11-06T11:35:00Z</dcterms:created>
  <dcterms:modified xsi:type="dcterms:W3CDTF">2021-06-07T01:09:24Z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