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徐州市2020-2021学年度第二学期期末抽测</w:t>
      </w:r>
    </w:p>
    <w:p>
      <w:pPr>
        <w:spacing w:line="288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高二年级物理试题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注意:本试卷满分为100分，考试时间为75分钟，请将答案填涂在答题卡上，直接写在试卷上不得分。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一、单项选择题:共10题，每题4分，共40分，每题只有一个选项最符合题意。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1人们在夏季喜欢佩戴水晶饰品，天然的水晶具有规则的几何外形，如图所示。关于天然水晶，下列说法正确的是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257425" cy="1733550"/>
            <wp:effectExtent l="0" t="0" r="9525" b="0"/>
            <wp:docPr id="2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/>
                    <pic:cNvPicPr>
                      <a:picLocks noChangeAspect="1"/>
                    </pic:cNvPicPr>
                  </pic:nvPicPr>
                  <pic:blipFill>
                    <a:blip r:embed="rId5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A.是单晶体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B.没有固定的熔点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C.微观粒子的空间排列不规则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D.在光学性质上表现为各向同性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2.护肤乳液在一定条件下能形成层状液晶，则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A.所有物质都能形成层状液晶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B.层状液晶的光学性质具有各向异性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C.层状液晶是液体与晶体的混合物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D.层状液晶不会随温度升高发生变化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3.超声波洁牙机利用超声波激励工作头产生高频振动，使牙结石因振动而松脱。则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A.工作头的振动频率小于超声波的频率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B.工作头的振动频率与牙结石固有频率接近时，牙结石更容易脱落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C.工作头的振动频率越大，洁牙效果越好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D.工作头停止振动，牙结石的固有频率逐渐减小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4.一辆大客车上有一个声源发出频率一定的乐音，当大客车静止、观察者也静止时，观察者听到并记住了这个乐音的音调。当观察者坐上一辆小轿车后听到这个乐音的音调比原来低的是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A.小轿车静止，大客车向他驶来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B.小轿车静止，大客车离他驶去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C.大客车静止，小轿车向着大客车驶去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D.大客车在前、小轿车在后，且小轿车速度大于大客车速度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5.如图所示为氢原子能级图。用光子能量为</w:t>
      </w:r>
      <w:r>
        <w:rPr>
          <w:rFonts w:hint="eastAsia" w:ascii="Times New Roman" w:hAnsi="Times New Roman" w:cs="宋体"/>
          <w:position w:val="-6"/>
        </w:rPr>
        <w:object>
          <v:shape id="_x0000_i1025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宋体"/>
        </w:rPr>
        <w:t>的光照射一群处于基态的氢原子，氢原子被激发到能级n，再向低能级跃迁，辐射多种频率的光子，其中光子能量最低值为0.31eV。则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400300" cy="1800225"/>
            <wp:effectExtent l="0" t="0" r="0" b="9525"/>
            <wp:docPr id="2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5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A.n=4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</w:t>
      </w:r>
      <w:r>
        <w:rPr>
          <w:rFonts w:hint="eastAsia" w:ascii="Times New Roman" w:hAnsi="Times New Roman" w:cs="宋体"/>
          <w:position w:val="-6"/>
        </w:rPr>
        <w:object>
          <v:shape id="_x0000_i1026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 w:cs="宋体"/>
        </w:rPr>
        <w:t>=13.6eV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C.从能级n跃迁到基态时，辐射光的波长最短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D.氢原子向低能级跃迁时可以得到6种频率的光子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6.如图为用光传感器演示双缝干涉现象的实验装置，红色光源在铁架台的最上端，中间是刻有双缝的挡板，下面是光传感器，传感器得到的光照信息经计算机处理后，在显示器上显示出来。则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324100" cy="1971675"/>
            <wp:effectExtent l="0" t="0" r="0" b="9525"/>
            <wp:docPr id="2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7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A.仅将红光换为蓝光，相邻两个亮条纹的中心间距将增大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B.仅将光传感器向上移，相邻两个亮条纹的中心间距将增大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C.仅将挡板换成单缝的挡板，显示器上一定不会显示出明暗相间的条纹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D.仅将挡板换成双缝间距更小的挡板，相邻两个亮条纹的中光传感器计算机处理器心间距将增大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7.雪崩是积雪山区一种常见的自然现象。如图所示，坡面AB可视为半径约为2.5km的圆弧，P点与圆心的连线OP偏离竖直方向约5°。不计阻力，P处积雪由静止下滑到山坡底端所需的时间约为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1695450" cy="1514475"/>
            <wp:effectExtent l="0" t="0" r="0" b="9525"/>
            <wp:docPr id="2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8"/>
                    <pic:cNvPicPr>
                      <a:picLocks noChangeAspect="1"/>
                    </pic:cNvPicPr>
                  </pic:nvPicPr>
                  <pic:blipFill>
                    <a:blip r:embed="rId11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A.25s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B.50s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C.75s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D.100s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8.原子核钍234的β衰变方程为:</w:t>
      </w:r>
      <w:r>
        <w:rPr>
          <w:rFonts w:hint="eastAsia" w:ascii="Times New Roman" w:hAnsi="Times New Roman" w:cs="宋体"/>
          <w:position w:val="-12"/>
        </w:rPr>
        <w:object>
          <v:shape id="_x0000_i1027" o:spt="75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 w:cs="宋体"/>
        </w:rPr>
        <w:t>Th→</w:t>
      </w:r>
      <w:r>
        <w:rPr>
          <w:rFonts w:hint="eastAsia" w:ascii="Times New Roman" w:hAnsi="Times New Roman" w:cs="宋体"/>
          <w:position w:val="-12"/>
        </w:rPr>
        <w:object>
          <v:shape id="_x0000_i1028" o:spt="75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ascii="Times New Roman" w:hAnsi="Times New Roman" w:cs="宋体"/>
        </w:rPr>
        <w:t>Pa+</w:t>
      </w:r>
      <w:r>
        <w:rPr>
          <w:rFonts w:hint="eastAsia" w:ascii="Times New Roman" w:hAnsi="Times New Roman" w:cs="宋体"/>
          <w:position w:val="-12"/>
        </w:rPr>
        <w:object>
          <v:shape id="_x0000_i1029" o:spt="75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 w:cs="宋体"/>
        </w:rPr>
        <w:t>e，衰变同时伴随着γ射线放出，测量发现:1g钍234在48天后还剩0.25g。则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A.β射线的穿透能力比γ射线强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B钍234的半衰期与其质量有关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C.16个钍234原子核在48天后还剩4个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D.β衰变的实质是核内的中子转化成了一个质子和一个电子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9.如图所示，在斯特林循环的p-V图像中，一定质量的理想气体从状态a依次经过状态b、c和d后再次回到a，整个循环由两个等容过程ab、cd和两个等温过程bc、da组成，则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1762125" cy="1581150"/>
            <wp:effectExtent l="0" t="0" r="9525" b="0"/>
            <wp:docPr id="2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2"/>
                    <pic:cNvPicPr>
                      <a:picLocks noChangeAspect="1"/>
                    </pic:cNvPicPr>
                  </pic:nvPicPr>
                  <pic:blipFill>
                    <a:blip r:embed="rId18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A.a→b过程，外界对气体不做功，气体内能不变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B.b→c过程，气体对外界做功，气体内能减少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C.c→d过程，气体向外界放热，气体内能减少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D.整个循环过程中，气体对外界做功小于气体从外界吸收的热量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10太阳的巨大能量是核聚变产生的，其中一种核反应方程为:</w:t>
      </w:r>
      <w:r>
        <w:rPr>
          <w:rFonts w:hint="eastAsia" w:ascii="Times New Roman" w:hAnsi="Times New Roman" w:cs="宋体"/>
          <w:position w:val="-12"/>
        </w:rPr>
        <w:object>
          <v:shape id="_x0000_i1030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 w:ascii="Times New Roman" w:hAnsi="Times New Roman" w:cs="宋体"/>
        </w:rPr>
        <w:t>。已知</w:t>
      </w:r>
      <w:r>
        <w:rPr>
          <w:rFonts w:hint="eastAsia" w:ascii="Times New Roman" w:hAnsi="Times New Roman" w:cs="宋体"/>
          <w:position w:val="-12"/>
        </w:rPr>
        <w:object>
          <v:shape id="_x0000_i1031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 w:ascii="Times New Roman" w:hAnsi="Times New Roman" w:cs="宋体"/>
        </w:rPr>
        <w:t>的比结合能为E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cs="宋体"/>
          <w:position w:val="-12"/>
        </w:rPr>
        <w:object>
          <v:shape id="_x0000_i1032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 w:cs="宋体"/>
        </w:rPr>
        <w:t>的比结合能为E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cs="宋体"/>
          <w:position w:val="-12"/>
        </w:rPr>
        <w:object>
          <v:shape id="_x0000_i1033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 w:cs="宋体"/>
        </w:rPr>
        <w:t>的比结合能为E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，则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A.X表示质子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</w:t>
      </w:r>
      <w:r>
        <w:rPr>
          <w:rFonts w:hint="eastAsia" w:ascii="Times New Roman" w:hAnsi="Times New Roman" w:cs="宋体"/>
          <w:position w:val="-12"/>
        </w:rPr>
        <w:object>
          <v:shape id="_x0000_i1034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 w:ascii="Times New Roman" w:hAnsi="Times New Roman" w:cs="宋体"/>
        </w:rPr>
        <w:t>核比</w:t>
      </w:r>
      <w:r>
        <w:rPr>
          <w:rFonts w:hint="eastAsia" w:ascii="Times New Roman" w:hAnsi="Times New Roman" w:cs="宋体"/>
          <w:position w:val="-12"/>
        </w:rPr>
        <w:object>
          <v:shape id="_x0000_i1035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Times New Roman" w:hAnsi="Times New Roman" w:cs="宋体"/>
        </w:rPr>
        <w:t>核更稳定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C.核反应过程中的质量亏损可以表示为</w:t>
      </w:r>
      <w:r>
        <w:rPr>
          <w:rFonts w:hint="eastAsia" w:ascii="Times New Roman" w:hAnsi="Times New Roman" w:cs="宋体"/>
          <w:position w:val="-24"/>
        </w:rPr>
        <w:object>
          <v:shape id="_x0000_i1036" o:spt="75" type="#_x0000_t75" style="height:28.5pt;width:7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D.一个</w:t>
      </w:r>
      <w:r>
        <w:rPr>
          <w:rFonts w:hint="eastAsia" w:ascii="Times New Roman" w:hAnsi="Times New Roman" w:cs="宋体"/>
          <w:position w:val="-12"/>
        </w:rPr>
        <w:object>
          <v:shape id="_x0000_i1037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 w:cs="宋体"/>
        </w:rPr>
        <w:t>核与一个</w:t>
      </w:r>
      <w:r>
        <w:rPr>
          <w:rFonts w:hint="eastAsia" w:ascii="Times New Roman" w:hAnsi="Times New Roman" w:cs="宋体"/>
          <w:position w:val="-12"/>
        </w:rPr>
        <w:object>
          <v:shape id="_x0000_i1038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宋体"/>
        </w:rPr>
        <w:t>核的结合能之和等于一个</w:t>
      </w:r>
      <w:r>
        <w:rPr>
          <w:rFonts w:hint="eastAsia" w:ascii="Times New Roman" w:hAnsi="Times New Roman" w:cs="宋体"/>
          <w:position w:val="-12"/>
        </w:rPr>
        <w:object>
          <v:shape id="_x0000_i1039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宋体"/>
        </w:rPr>
        <w:t>核的结合能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二、非选择题:共6题，共60分。其中第13题第16题解答时请写出必要的文字说明、方程式和重要的演算步骤，只写出最后答案的不能得分；有数值计算时，答案中必须明确写出数值和单位。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11.（8分）某同学用插针法测定一长方体玻璃砖的折射率。操作步骤如下: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①在白纸上放好玻璃砖，在玻璃砖的一侧竖直插上两枚大头针P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、P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②在玻璃砖的另一侧观察，调整视线使P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的像被P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的像挡住，接着在眼睛所在的一侧插两枚大头针P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和P</w:t>
      </w:r>
      <w:r>
        <w:rPr>
          <w:rFonts w:hint="eastAsia" w:ascii="Times New Roman" w:hAnsi="Times New Roman" w:cs="宋体"/>
          <w:vertAlign w:val="subscript"/>
        </w:rPr>
        <w:t>4</w:t>
      </w:r>
      <w:r>
        <w:rPr>
          <w:rFonts w:hint="eastAsia" w:ascii="Times New Roman" w:hAnsi="Times New Roman" w:cs="宋体"/>
        </w:rPr>
        <w:t>，使P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挡住P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和P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的像，P</w:t>
      </w:r>
      <w:r>
        <w:rPr>
          <w:rFonts w:hint="eastAsia" w:ascii="Times New Roman" w:hAnsi="Times New Roman" w:cs="宋体"/>
          <w:vertAlign w:val="subscript"/>
        </w:rPr>
        <w:t>4</w:t>
      </w:r>
      <w:r>
        <w:rPr>
          <w:rFonts w:hint="eastAsia" w:ascii="Times New Roman" w:hAnsi="Times New Roman" w:cs="宋体"/>
        </w:rPr>
        <w:t>挡住P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和P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、P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的像；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③用铅笔环绕玻璃砖画出边界aa′和bb′；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④取下玻璃砖、大头针，在白纸上描出光线的径迹，量出入射角i和折射角r，计算出折射率；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⑤改变入射角，重复上述过程，求出多组折射率并取其平均值。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171700" cy="1400175"/>
            <wp:effectExtent l="0" t="0" r="0" b="9525"/>
            <wp:docPr id="28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（1）以上步骤中有错误或不妥之处的是___________（填步骤前序号）；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（2）为了减小实验误差，实验时应注意的是___________。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A.入射角应尽量小些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B.玻璃砖的宽度宜小一些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C.大头针应垂直的插在纸面上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D.大头针针P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、P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及针P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、P</w:t>
      </w:r>
      <w:r>
        <w:rPr>
          <w:rFonts w:hint="eastAsia" w:ascii="Times New Roman" w:hAnsi="Times New Roman" w:cs="宋体"/>
          <w:vertAlign w:val="subscript"/>
        </w:rPr>
        <w:t>4</w:t>
      </w:r>
      <w:r>
        <w:rPr>
          <w:rFonts w:hint="eastAsia" w:ascii="Times New Roman" w:hAnsi="Times New Roman" w:cs="宋体"/>
        </w:rPr>
        <w:t>之间的距离应适当大些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（3）该同学在画界面时，不小心将两界面aa′、bb′间距画得比玻璃砖宽度大些，如图甲所示，则他测得折射率__________（选填“偏大”、“偏小”或“不变”）。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4）若该同学没有量角器，在完成光路图后，以O点为圆心画圆，分别交线段OA于A点，交OO′连线延长线于B点，如图乙所示，请利用毫米刻度尺测量相关距离，并计算得出玻璃的折射率n=__________（保留两位有效数字）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362200" cy="2409825"/>
            <wp:effectExtent l="0" t="0" r="0" b="9525"/>
            <wp:docPr id="2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5"/>
                    <pic:cNvPicPr>
                      <a:picLocks noChangeAspect="1"/>
                    </pic:cNvPicPr>
                  </pic:nvPicPr>
                  <pic:blipFill>
                    <a:blip r:embed="rId3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12.（7分）某研究性学习小组设计了利用光电效应测量普朗克常量的实验，实验原理图如图甲所示，实验中通过测定遏止电压U</w:t>
      </w:r>
      <w:r>
        <w:rPr>
          <w:rFonts w:hint="eastAsia" w:ascii="Times New Roman" w:hAnsi="Times New Roman" w:cs="宋体"/>
          <w:vertAlign w:val="subscript"/>
        </w:rPr>
        <w:t>C</w:t>
      </w:r>
      <w:r>
        <w:rPr>
          <w:rFonts w:hint="eastAsia" w:ascii="Times New Roman" w:hAnsi="Times New Roman" w:cs="宋体"/>
        </w:rPr>
        <w:t>和对应入射光频率v的数据，即可求出普朗克常量h。该小组的一次实验数据记录如下:</w:t>
      </w:r>
    </w:p>
    <w:tbl>
      <w:tblPr>
        <w:tblStyle w:val="4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频率v（10</w:t>
            </w:r>
            <w:r>
              <w:rPr>
                <w:rFonts w:hint="eastAsia" w:ascii="Times New Roman" w:hAnsi="Times New Roman" w:cs="宋体"/>
                <w:vertAlign w:val="superscript"/>
              </w:rPr>
              <w:t>14</w:t>
            </w:r>
            <w:r>
              <w:rPr>
                <w:rFonts w:hint="eastAsia" w:ascii="Times New Roman" w:hAnsi="Times New Roman" w:cs="宋体"/>
              </w:rPr>
              <w:t>Hz）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8.213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7.408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6.879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5.490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5.196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遏止电压U</w:t>
            </w:r>
            <w:r>
              <w:rPr>
                <w:rFonts w:hint="eastAsia" w:ascii="Times New Roman" w:hAnsi="Times New Roman" w:cs="宋体"/>
                <w:vertAlign w:val="subscript"/>
              </w:rPr>
              <w:t>C</w:t>
            </w:r>
            <w:r>
              <w:rPr>
                <w:rFonts w:hint="eastAsia" w:ascii="Times New Roman" w:hAnsi="Times New Roman" w:cs="宋体"/>
              </w:rPr>
              <w:t>（V）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1.600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1.278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1.074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0.488</w:t>
            </w:r>
          </w:p>
        </w:tc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0.378</w:t>
            </w:r>
          </w:p>
        </w:tc>
      </w:tr>
    </w:tbl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（1）建立U</w:t>
      </w:r>
      <w:r>
        <w:rPr>
          <w:rFonts w:hint="eastAsia" w:ascii="Times New Roman" w:hAnsi="Times New Roman" w:cs="宋体"/>
          <w:vertAlign w:val="subscript"/>
        </w:rPr>
        <w:t>C</w:t>
      </w:r>
      <w:r>
        <w:rPr>
          <w:rFonts w:hint="eastAsia" w:ascii="Times New Roman" w:hAnsi="Times New Roman" w:cs="宋体"/>
        </w:rPr>
        <w:t>-v的坐标系，根据表中的数据，在图乙中描绘U</w:t>
      </w:r>
      <w:r>
        <w:rPr>
          <w:rFonts w:hint="eastAsia" w:ascii="Times New Roman" w:hAnsi="Times New Roman" w:cs="宋体"/>
          <w:vertAlign w:val="subscript"/>
        </w:rPr>
        <w:t>C</w:t>
      </w:r>
      <w:r>
        <w:rPr>
          <w:rFonts w:hint="eastAsia" w:ascii="Times New Roman" w:hAnsi="Times New Roman" w:cs="宋体"/>
        </w:rPr>
        <w:t>随v变化的图线；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（2）已知元电荷e=1.6×10</w:t>
      </w:r>
      <w:r>
        <w:rPr>
          <w:rFonts w:hint="eastAsia" w:ascii="Times New Roman" w:hAnsi="Times New Roman" w:cs="宋体"/>
          <w:vertAlign w:val="superscript"/>
        </w:rPr>
        <w:t>-19</w:t>
      </w:r>
      <w:r>
        <w:rPr>
          <w:rFonts w:hint="eastAsia" w:ascii="Times New Roman" w:hAnsi="Times New Roman" w:cs="宋体"/>
        </w:rPr>
        <w:t>C，利用图乙画出的图线求出普朗克常量h_________J·s（保留两位有效数字）；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（3）由于多种因素的影响，各条谱线对应的遏止电压和理论值相比都相差了△U，试分析对普朗克常量h的测量有没有大的影响:___________。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5731510" cy="2747645"/>
            <wp:effectExtent l="0" t="0" r="2540" b="14605"/>
            <wp:docPr id="30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6"/>
                    <pic:cNvPicPr>
                      <a:picLocks noChangeAspect="1"/>
                    </pic:cNvPicPr>
                  </pic:nvPicPr>
                  <pic:blipFill>
                    <a:blip r:embed="rId36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13.（8分）简谐横波波源位于坐标原点处，如图为t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=0时刻波的图像，已知波源的振动周期T=2s，振幅A=2cm。质点P、Q的平衡位置分别处于x轴上的-7m和9m处。求: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3942715" cy="1704975"/>
            <wp:effectExtent l="0" t="0" r="635" b="9525"/>
            <wp:docPr id="3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7"/>
                    <pic:cNvPicPr>
                      <a:picLocks noChangeAspect="1"/>
                    </pic:cNvPicPr>
                  </pic:nvPicPr>
                  <pic:blipFill>
                    <a:blip r:embed="rId37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（1）质点P开始振动的时刻t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（2）0～4s内质点Q运动的路程s。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14.（8分）如图所示，一束激光在P点以入射角θ=45°射入一个直角棱镜ABC，在另一直角边上的Q点恰好发生全反射，已知BP间距离为</w:t>
      </w:r>
      <w:r>
        <w:rPr>
          <w:rFonts w:hint="eastAsia" w:ascii="Times New Roman" w:hAnsi="Times New Roman" w:cs="宋体"/>
          <w:i/>
          <w:iCs/>
        </w:rPr>
        <w:t>l</w:t>
      </w:r>
      <w:r>
        <w:rPr>
          <w:rFonts w:hint="eastAsia" w:ascii="Times New Roman" w:hAnsi="Times New Roman" w:cs="宋体"/>
        </w:rPr>
        <w:t>，光速为c。求: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3180715" cy="1438275"/>
            <wp:effectExtent l="0" t="0" r="635" b="9525"/>
            <wp:docPr id="3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8"/>
                    <pic:cNvPicPr>
                      <a:picLocks noChangeAspect="1"/>
                    </pic:cNvPicPr>
                  </pic:nvPicPr>
                  <pic:blipFill>
                    <a:blip r:embed="rId3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（1）棱镜的折射率n；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（2）激光从P到Q的传播时间t。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15.（14分）如图所示，下端开口的圆柱形容器（导热性能良好）竖立在水面上，其上部封闭有一定质量的理想气体。当环境温度为T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时，容器底部与水面间的高度差为h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，容器内外水面间的高度差为h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；当环境温度升高到T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（未知）时，容器上升的高度为h，此过程中气体从环境中吸收的热量为Q。容器的横截面积为S，已知大气压强始终保持p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不变，水的密度为ρ，当地的重力加速度为g。求: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333625" cy="1914525"/>
            <wp:effectExtent l="0" t="0" r="9525" b="9525"/>
            <wp:docPr id="33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9"/>
                    <pic:cNvPicPr>
                      <a:picLocks noChangeAspect="1"/>
                    </pic:cNvPicPr>
                  </pic:nvPicPr>
                  <pic:blipFill>
                    <a:blip r:embed="rId39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（1）容器内部气体压强p；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（2）环境温度T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（3）环境温度从T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升高到T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过程中，气体内能的变化量△U.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16.（15分）如图所示，超市购物车的后侧围栏可以向上转动，不用时将购物车依次嵌入前车中减少占据空间。若某人将一辆空置购物车A由静止迅速推出，经过时间t后，车A以水平速度v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撞上正前方另一辆静止的空置购物车B，相撞后两车一起运动（碰撞时间极短）。已知空置购物车质量为M（含围栏），围栏质量为m；某人将车A推出时推力的冲量为I，相撞后车B的围栏重心上升的高度为h。求：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4076065" cy="1543050"/>
            <wp:effectExtent l="0" t="0" r="635" b="0"/>
            <wp:docPr id="34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0"/>
                    <pic:cNvPicPr>
                      <a:picLocks noChangeAspect="1"/>
                    </pic:cNvPicPr>
                  </pic:nvPicPr>
                  <pic:blipFill>
                    <a:blip r:embed="rId40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（1）购物车受到地面的平均摩擦力大小f；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（2）碰撞后两车一起运动的速度大小v；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（3）碰撞过程中A、B系统损失的机械能△E。</w:t>
      </w:r>
    </w:p>
    <w:p>
      <w:pPr>
        <w:spacing w:line="288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物理参考答案及评分标准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一、单项选择题:本题共10小题，每小题4分，共40分，每小题只有一个选项符合题意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1.A  2.B  3.B  4.B  5.C  6.D  7.A  8.D  9.C  10.C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二、简答题:本题共6小题，共60分。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11.（8分）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（1）③（2分）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（2）CD（2分）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（3）偏小（2分）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（4）1.6-1.7（2分）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12.（7分）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（1）如图（3分）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4161790" cy="3018790"/>
            <wp:effectExtent l="0" t="0" r="10160" b="10160"/>
            <wp:docPr id="35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1"/>
                    <pic:cNvPicPr>
                      <a:picLocks noChangeAspect="1"/>
                    </pic:cNvPicPr>
                  </pic:nvPicPr>
                  <pic:blipFill>
                    <a:blip r:embed="rId41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（2）6.0×10</w:t>
      </w:r>
      <w:r>
        <w:rPr>
          <w:rFonts w:hint="eastAsia" w:ascii="Times New Roman" w:hAnsi="Times New Roman" w:cs="宋体"/>
          <w:vertAlign w:val="superscript"/>
        </w:rPr>
        <w:t>-34</w:t>
      </w:r>
      <w:r>
        <w:rPr>
          <w:rFonts w:hint="eastAsia" w:ascii="Times New Roman" w:hAnsi="Times New Roman" w:cs="宋体"/>
        </w:rPr>
        <w:t>～6.8×10</w:t>
      </w:r>
      <w:r>
        <w:rPr>
          <w:rFonts w:hint="eastAsia" w:ascii="Times New Roman" w:hAnsi="Times New Roman" w:cs="宋体"/>
          <w:vertAlign w:val="superscript"/>
        </w:rPr>
        <w:t>-34</w:t>
      </w:r>
      <w:r>
        <w:rPr>
          <w:rFonts w:hint="eastAsia" w:ascii="Times New Roman" w:hAnsi="Times New Roman" w:cs="宋体"/>
        </w:rPr>
        <w:t>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（3）各条谱线对应的遏止电压和理论值相比都增加ΔU，相当于在描出的图线向一侧平移了些许，不影响图象的斜率计第，对h的测量没有大的影响（2分）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13.（8分）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（1）由图可知波长</w:t>
      </w:r>
      <w:r>
        <w:rPr>
          <w:rFonts w:hint="eastAsia" w:ascii="Times New Roman" w:hAnsi="Times New Roman" w:cs="宋体"/>
          <w:position w:val="-6"/>
        </w:rPr>
        <w:object>
          <v:shape id="_x0000_i104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hint="eastAsia" w:ascii="Times New Roman" w:hAnsi="Times New Roman" w:cs="宋体"/>
        </w:rPr>
        <w:t>=4m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可得:v=</w:t>
      </w:r>
      <w:r>
        <w:rPr>
          <w:rFonts w:hint="eastAsia" w:ascii="Times New Roman" w:hAnsi="Times New Roman" w:cs="宋体"/>
          <w:position w:val="-24"/>
        </w:rPr>
        <w:object>
          <v:shape id="_x0000_i1041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hint="eastAsia" w:ascii="Times New Roman" w:hAnsi="Times New Roman" w:cs="宋体"/>
        </w:rPr>
        <w:t>=2m/s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波传播到质点P需要的时间</w:t>
      </w:r>
      <w:r>
        <w:rPr>
          <w:rFonts w:hint="eastAsia" w:ascii="Times New Roman" w:hAnsi="Times New Roman" w:cs="宋体"/>
          <w:position w:val="-24"/>
        </w:rPr>
        <w:object>
          <v:shape id="_x0000_i1042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hint="eastAsia" w:ascii="Times New Roman" w:hAnsi="Times New Roman" w:cs="宋体"/>
        </w:rPr>
        <w:t>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质点P开始振动的时刻t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=1.5s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（2）波传播到质点Q处需要的时间</w:t>
      </w:r>
      <w:r>
        <w:rPr>
          <w:rFonts w:hint="eastAsia" w:ascii="Times New Roman" w:hAnsi="Times New Roman" w:cs="宋体"/>
          <w:position w:val="-24"/>
        </w:rPr>
        <w:object>
          <v:shape id="_x0000_i1043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质点Q振动的时间△t</w:t>
      </w:r>
      <w:r>
        <w:rPr>
          <w:rFonts w:hint="eastAsia" w:ascii="Times New Roman" w:hAnsi="Times New Roman" w:cs="宋体"/>
          <w:vertAlign w:val="subscript"/>
        </w:rPr>
        <w:t>Q</w:t>
      </w:r>
      <w:r>
        <w:rPr>
          <w:rFonts w:hint="eastAsia" w:ascii="Times New Roman" w:hAnsi="Times New Roman" w:cs="宋体"/>
        </w:rPr>
        <w:t>′=1.5s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振动的路程S=3A=6cm 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14.（8分）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（1）设折射角为r，由折射定律可得:</w:t>
      </w:r>
      <w:r>
        <w:rPr>
          <w:rFonts w:hint="eastAsia" w:ascii="Times New Roman" w:hAnsi="Times New Roman" w:cs="宋体"/>
          <w:position w:val="-24"/>
        </w:rPr>
        <w:object>
          <v:shape id="_x0000_i1044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在Q点恰好发生全反射则有:sinC=</w:t>
      </w:r>
      <w:r>
        <w:rPr>
          <w:rFonts w:hint="eastAsia" w:ascii="Times New Roman" w:hAnsi="Times New Roman" w:cs="宋体"/>
          <w:position w:val="-24"/>
        </w:rPr>
        <w:object>
          <v:shape id="_x0000_i1045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由几何关系可得:r+C=</w:t>
      </w:r>
      <w:r>
        <w:rPr>
          <w:rFonts w:hint="eastAsia" w:ascii="Times New Roman" w:hAnsi="Times New Roman" w:cs="宋体"/>
          <w:position w:val="-24"/>
        </w:rPr>
        <w:object>
          <v:shape id="_x0000_i1046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联立三式可得:</w:t>
      </w:r>
      <w:r>
        <w:rPr>
          <w:rFonts w:hint="eastAsia" w:ascii="Times New Roman" w:hAnsi="Times New Roman" w:cs="宋体"/>
          <w:position w:val="-24"/>
        </w:rPr>
        <w:object>
          <v:shape id="_x0000_i1047" o:spt="75" type="#_x0000_t75" style="height:36pt;width:115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（2）由几何关系的</w:t>
      </w:r>
      <w:r>
        <w:rPr>
          <w:rFonts w:hint="eastAsia" w:ascii="Times New Roman" w:hAnsi="Times New Roman" w:cs="宋体"/>
          <w:position w:val="-54"/>
        </w:rPr>
        <w:object>
          <v:shape id="_x0000_i1048" o:spt="75" type="#_x0000_t75" style="height:43.5pt;width:9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光在介质中的传播速度</w:t>
      </w:r>
      <w:r>
        <w:rPr>
          <w:rFonts w:hint="eastAsia" w:ascii="Times New Roman" w:hAnsi="Times New Roman" w:cs="宋体"/>
          <w:position w:val="-24"/>
        </w:rPr>
        <w:object>
          <v:shape id="_x0000_i1049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光线从P点传到Q点需要的时间</w:t>
      </w:r>
      <w:r>
        <w:rPr>
          <w:rFonts w:hint="eastAsia" w:ascii="Times New Roman" w:hAnsi="Times New Roman" w:cs="宋体"/>
          <w:position w:val="-24"/>
        </w:rPr>
        <w:object>
          <v:shape id="_x0000_i1050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代入数值解得</w:t>
      </w:r>
      <w:r>
        <w:rPr>
          <w:rFonts w:hint="eastAsia" w:ascii="Times New Roman" w:hAnsi="Times New Roman" w:cs="宋体"/>
          <w:position w:val="-24"/>
        </w:rPr>
        <w:object>
          <v:shape id="_x0000_i1051" o:spt="75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15.（14分）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（1）对容器内水面上的“某一液片”分析可得: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12"/>
        </w:rPr>
        <w:object>
          <v:shape id="_x0000_i1052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（2）对容器底部受力分析得mg+p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S=pS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因大气压强p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、容器质量m均不变，可知容器内部气体压强P不变（2分）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即T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到T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过程为等压膨胀过程，由盖吕萨克定律有: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30"/>
        </w:rPr>
        <w:object>
          <v:shape id="_x0000_i1053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可得</w:t>
      </w:r>
      <w:r>
        <w:rPr>
          <w:rFonts w:hint="eastAsia" w:ascii="Times New Roman" w:hAnsi="Times New Roman" w:cs="宋体"/>
          <w:position w:val="-30"/>
        </w:rPr>
        <w:object>
          <v:shape id="_x0000_i1054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（3）该过程中外界对气体所做的功</w:t>
      </w:r>
      <w:r>
        <w:rPr>
          <w:rFonts w:hint="eastAsia" w:ascii="Times New Roman" w:hAnsi="Times New Roman" w:cs="宋体"/>
          <w:position w:val="-12"/>
        </w:rPr>
        <w:object>
          <v:shape id="_x0000_i1055" o:spt="75" type="#_x0000_t75" style="height:21.75pt;width:16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由热力学第一定律可知:△U=W+Q=Q</w:t>
      </w:r>
      <w:r>
        <w:rPr>
          <w:rFonts w:hint="eastAsia" w:ascii="Times New Roman" w:hAnsi="Times New Roman" w:cs="宋体"/>
          <w:position w:val="-12"/>
        </w:rPr>
        <w:object>
          <v:shape id="_x0000_i1056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16.（15分）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（1）规定购物车前进的方向为正方向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对购物车从静止到碰撞前这一过程，由动量定理有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12"/>
        </w:rPr>
        <w:object>
          <v:shape id="_x0000_i1057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可知:</w:t>
      </w:r>
      <w:r>
        <w:rPr>
          <w:rFonts w:hint="eastAsia" w:ascii="Times New Roman" w:hAnsi="Times New Roman" w:cs="宋体"/>
          <w:position w:val="-24"/>
        </w:rPr>
        <w:object>
          <v:shape id="_x0000_i1058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（2）因两车碰撞时间极短，则可认为碰撞过程中水平方向动量守恒，有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12"/>
        </w:rPr>
        <w:object>
          <v:shape id="_x0000_i1059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（3分）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则碰撞后两车一起运动的速度</w:t>
      </w:r>
      <w:r>
        <w:rPr>
          <w:rFonts w:hint="eastAsia" w:ascii="Times New Roman" w:hAnsi="Times New Roman" w:cs="宋体"/>
          <w:position w:val="-24"/>
        </w:rPr>
        <w:object>
          <v:shape id="_x0000_i1060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（3）购物车碰撞过程中，围栏重心上升，重力势能增加量为△E</w:t>
      </w:r>
      <w:r>
        <w:rPr>
          <w:rFonts w:hint="eastAsia" w:ascii="Times New Roman" w:hAnsi="Times New Roman" w:cs="宋体"/>
          <w:vertAlign w:val="subscript"/>
        </w:rPr>
        <w:t>p</w:t>
      </w:r>
      <w:r>
        <w:rPr>
          <w:rFonts w:hint="eastAsia" w:ascii="Times New Roman" w:hAnsi="Times New Roman" w:cs="宋体"/>
        </w:rPr>
        <w:t>=mgh（1分）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由能量守恒可得:</w:t>
      </w:r>
      <w:r>
        <w:rPr>
          <w:rFonts w:hint="eastAsia" w:ascii="Times New Roman" w:hAnsi="Times New Roman" w:cs="宋体"/>
          <w:position w:val="-24"/>
        </w:rPr>
        <w:object>
          <v:shape id="_x0000_i1061" o:spt="75" type="#_x0000_t75" style="height:28.5pt;width:165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  （2分）</w:t>
      </w:r>
    </w:p>
    <w:p>
      <w:pPr>
        <w:spacing w:line="288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解得:</w:t>
      </w:r>
      <w:r>
        <w:rPr>
          <w:rFonts w:hint="eastAsia" w:ascii="Times New Roman" w:hAnsi="Times New Roman" w:cs="宋体"/>
          <w:position w:val="-24"/>
        </w:rPr>
        <w:object>
          <v:shape id="_x0000_i1062" o:spt="75" type="#_x0000_t75" style="height:28.5pt;width:93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eastAsia" w:ascii="Times New Roman" w:hAnsi="Times New Roman" w:cs="宋体"/>
        </w:rPr>
        <w:t xml:space="preserve"> （2分）</w:t>
      </w:r>
    </w:p>
    <w:p>
      <w:pPr>
        <w:spacing w:line="288" w:lineRule="auto"/>
        <w:rPr>
          <w:rFonts w:ascii="Times New Roman" w:hAnsi="Times New Roman" w:cs="宋体"/>
        </w:rPr>
      </w:pPr>
    </w:p>
    <w:p>
      <w:bookmarkStart w:id="0" w:name="_GoBack"/>
      <w:bookmarkEnd w:id="0"/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12700" b="0"/>
          <wp:wrapNone/>
          <wp:docPr id="100055" name="图片 100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5" name="图片 1000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61D6"/>
    <w:rsid w:val="387461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9" Type="http://schemas.openxmlformats.org/officeDocument/2006/relationships/fontTable" Target="fontTable.xml"/><Relationship Id="rId88" Type="http://schemas.openxmlformats.org/officeDocument/2006/relationships/customXml" Target="../customXml/item1.xml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image" Target="media/image4.png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3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8.wmf"/><Relationship Id="rId70" Type="http://schemas.openxmlformats.org/officeDocument/2006/relationships/oleObject" Target="embeddings/oleObject30.bin"/><Relationship Id="rId7" Type="http://schemas.openxmlformats.org/officeDocument/2006/relationships/image" Target="media/image3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1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3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2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png"/><Relationship Id="rId40" Type="http://schemas.openxmlformats.org/officeDocument/2006/relationships/image" Target="media/image22.png"/><Relationship Id="rId4" Type="http://schemas.openxmlformats.org/officeDocument/2006/relationships/theme" Target="theme/theme1.xml"/><Relationship Id="rId39" Type="http://schemas.openxmlformats.org/officeDocument/2006/relationships/image" Target="media/image21.png"/><Relationship Id="rId38" Type="http://schemas.openxmlformats.org/officeDocument/2006/relationships/image" Target="media/image20.png"/><Relationship Id="rId37" Type="http://schemas.openxmlformats.org/officeDocument/2006/relationships/image" Target="media/image19.png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oleObject" Target="embeddings/oleObject11.bin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2021-06-27T03:17:00Z</dcterms:created>
  <dc:creator>Administrator</dc:creator>
  <cp:lastModifiedBy>Administrator</cp:lastModifiedBy>
  <dcterms:modified xsi:type="dcterms:W3CDTF">2021-06-27T03:17:57Z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