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vanish/>
          <w:color w:val="FFFFFF"/>
          <w:szCs w:val="24"/>
        </w:rPr>
      </w:pPr>
      <w:r>
        <w:rPr>
          <w:rFonts w:hint="eastAsia"/>
          <w:vanish/>
          <w:color w:val="F2F2F2"/>
          <w:szCs w:val="24"/>
        </w:rPr>
        <w:t>www.ks5u.com</w:t>
      </w:r>
    </w:p>
    <w:p>
      <w:pPr>
        <w:pStyle w:val="21"/>
        <w:spacing w:before="100" w:after="100" w:line="600" w:lineRule="exact"/>
        <w:jc w:val="center"/>
        <w:rPr>
          <w:rStyle w:val="10"/>
          <w:rFonts w:ascii="黑体" w:hAnsi="黑体" w:eastAsia="黑体"/>
          <w:color w:val="auto"/>
          <w:sz w:val="36"/>
          <w:szCs w:val="36"/>
        </w:rPr>
      </w:pPr>
      <w:r>
        <w:rPr>
          <w:rStyle w:val="10"/>
          <w:rFonts w:hint="eastAsia" w:ascii="黑体" w:hAnsi="黑体" w:eastAsia="黑体"/>
          <w:color w:val="auto"/>
          <w:sz w:val="36"/>
          <w:szCs w:val="36"/>
        </w:rPr>
        <w:t>西</w:t>
      </w:r>
      <w:r>
        <w:rPr>
          <w:rStyle w:val="10"/>
          <w:rFonts w:ascii="黑体" w:hAnsi="黑体" w:eastAsia="黑体"/>
          <w:color w:val="auto"/>
          <w:sz w:val="36"/>
          <w:szCs w:val="36"/>
        </w:rPr>
        <w:t>南大学</w:t>
      </w:r>
      <w:r>
        <w:rPr>
          <w:rStyle w:val="10"/>
          <w:rFonts w:hint="eastAsia" w:ascii="黑体" w:hAnsi="黑体" w:eastAsia="黑体"/>
          <w:color w:val="auto"/>
          <w:sz w:val="36"/>
          <w:szCs w:val="36"/>
        </w:rPr>
        <w:t>附属中学校高</w:t>
      </w:r>
      <w:r>
        <w:rPr>
          <w:rStyle w:val="10"/>
          <w:rFonts w:ascii="Times New Roman" w:hAnsi="Times New Roman" w:eastAsia="黑体" w:cs="Times New Roman"/>
          <w:color w:val="auto"/>
          <w:sz w:val="36"/>
          <w:szCs w:val="36"/>
        </w:rPr>
        <w:t>2021</w:t>
      </w:r>
      <w:r>
        <w:rPr>
          <w:rStyle w:val="10"/>
          <w:rFonts w:hint="eastAsia" w:ascii="黑体" w:hAnsi="黑体" w:eastAsia="黑体"/>
          <w:color w:val="auto"/>
          <w:sz w:val="36"/>
          <w:szCs w:val="36"/>
        </w:rPr>
        <w:t>级第四次月考</w:t>
      </w:r>
    </w:p>
    <w:p>
      <w:pPr>
        <w:pStyle w:val="21"/>
        <w:spacing w:after="100" w:line="700" w:lineRule="exact"/>
        <w:jc w:val="center"/>
        <w:rPr>
          <w:rStyle w:val="10"/>
          <w:bCs/>
          <w:color w:val="auto"/>
          <w:w w:val="80"/>
        </w:rPr>
      </w:pPr>
      <w:r>
        <w:rPr>
          <w:rStyle w:val="10"/>
          <w:rFonts w:hint="eastAsia" w:eastAsia="隶书"/>
          <w:color w:val="auto"/>
          <w:w w:val="80"/>
          <w:sz w:val="60"/>
          <w:szCs w:val="60"/>
        </w:rPr>
        <w:t xml:space="preserve">地 理 </w:t>
      </w:r>
      <w:r>
        <w:rPr>
          <w:rStyle w:val="10"/>
          <w:rFonts w:eastAsia="隶书"/>
          <w:color w:val="auto"/>
          <w:w w:val="80"/>
          <w:sz w:val="60"/>
          <w:szCs w:val="60"/>
        </w:rPr>
        <w:t>试</w:t>
      </w:r>
      <w:r>
        <w:rPr>
          <w:rStyle w:val="10"/>
          <w:rFonts w:hint="eastAsia" w:eastAsia="隶书"/>
          <w:color w:val="auto"/>
          <w:w w:val="80"/>
          <w:sz w:val="60"/>
          <w:szCs w:val="60"/>
        </w:rPr>
        <w:t xml:space="preserve"> </w:t>
      </w:r>
      <w:r>
        <w:rPr>
          <w:rStyle w:val="10"/>
          <w:rFonts w:eastAsia="隶书"/>
          <w:color w:val="auto"/>
          <w:w w:val="80"/>
          <w:sz w:val="60"/>
          <w:szCs w:val="60"/>
        </w:rPr>
        <w:t>题</w:t>
      </w:r>
    </w:p>
    <w:p>
      <w:pPr>
        <w:pStyle w:val="21"/>
        <w:adjustRightInd w:val="0"/>
        <w:snapToGrid w:val="0"/>
        <w:spacing w:after="200" w:line="360" w:lineRule="exact"/>
        <w:jc w:val="center"/>
        <w:rPr>
          <w:rStyle w:val="10"/>
          <w:rFonts w:ascii="Times New Roman" w:hAnsi="Times New Roman" w:eastAsia="楷体" w:cs="Times New Roman"/>
          <w:color w:val="auto"/>
          <w:szCs w:val="21"/>
        </w:rPr>
      </w:pPr>
      <w:r>
        <w:rPr>
          <w:rStyle w:val="10"/>
          <w:rFonts w:ascii="Times New Roman" w:hAnsi="Times New Roman" w:eastAsia="楷体" w:cs="Times New Roman"/>
          <w:color w:val="auto"/>
          <w:szCs w:val="21"/>
        </w:rPr>
        <w:t>（总分：100分</w:t>
      </w:r>
      <w:r>
        <w:rPr>
          <w:rStyle w:val="10"/>
          <w:rFonts w:hint="eastAsia" w:ascii="Times New Roman" w:hAnsi="Times New Roman" w:eastAsia="楷体" w:cs="Times New Roman"/>
          <w:color w:val="auto"/>
          <w:szCs w:val="21"/>
        </w:rPr>
        <w:t>；</w:t>
      </w:r>
      <w:r>
        <w:rPr>
          <w:rStyle w:val="10"/>
          <w:rFonts w:ascii="Times New Roman" w:hAnsi="Times New Roman" w:eastAsia="楷体" w:cs="Times New Roman"/>
          <w:color w:val="auto"/>
          <w:szCs w:val="21"/>
        </w:rPr>
        <w:t xml:space="preserve">考试时间：75分钟） </w:t>
      </w:r>
    </w:p>
    <w:p>
      <w:pPr>
        <w:pStyle w:val="21"/>
        <w:adjustRightInd w:val="0"/>
        <w:snapToGrid w:val="0"/>
        <w:spacing w:after="200" w:line="360" w:lineRule="exact"/>
        <w:jc w:val="right"/>
        <w:rPr>
          <w:rStyle w:val="10"/>
          <w:rFonts w:ascii="Times New Roman" w:hAnsi="Times New Roman" w:eastAsia="楷体" w:cs="Times New Roman"/>
          <w:color w:val="auto"/>
          <w:szCs w:val="21"/>
        </w:rPr>
      </w:pPr>
      <w:r>
        <w:rPr>
          <w:rStyle w:val="10"/>
          <w:rFonts w:hint="eastAsia" w:ascii="Times New Roman" w:hAnsi="Times New Roman" w:eastAsia="楷体" w:cs="Times New Roman"/>
          <w:color w:val="auto"/>
          <w:szCs w:val="21"/>
        </w:rPr>
        <w:t>2</w:t>
      </w:r>
      <w:r>
        <w:rPr>
          <w:rStyle w:val="10"/>
          <w:rFonts w:ascii="Times New Roman" w:hAnsi="Times New Roman" w:eastAsia="楷体" w:cs="Times New Roman"/>
          <w:color w:val="auto"/>
          <w:szCs w:val="21"/>
        </w:rPr>
        <w:t>021</w:t>
      </w:r>
      <w:r>
        <w:rPr>
          <w:rStyle w:val="10"/>
          <w:rFonts w:hint="eastAsia" w:ascii="Times New Roman" w:hAnsi="Times New Roman" w:eastAsia="楷体" w:cs="Times New Roman"/>
          <w:color w:val="auto"/>
          <w:szCs w:val="21"/>
        </w:rPr>
        <w:t>年4月</w:t>
      </w:r>
    </w:p>
    <w:p>
      <w:pPr>
        <w:pStyle w:val="21"/>
        <w:adjustRightInd w:val="0"/>
        <w:snapToGrid w:val="0"/>
        <w:spacing w:after="200" w:line="320" w:lineRule="exact"/>
        <w:jc w:val="left"/>
        <w:rPr>
          <w:rStyle w:val="10"/>
          <w:rFonts w:eastAsia="楷体"/>
          <w:b/>
          <w:bCs/>
          <w:color w:val="auto"/>
          <w:sz w:val="20"/>
          <w:szCs w:val="20"/>
        </w:rPr>
      </w:pPr>
      <w:r>
        <w:rPr>
          <w:rStyle w:val="10"/>
          <w:rFonts w:eastAsia="楷体"/>
          <w:b/>
          <w:bCs/>
          <w:color w:val="auto"/>
          <w:sz w:val="20"/>
          <w:szCs w:val="20"/>
        </w:rPr>
        <w:t>注意事项：</w:t>
      </w:r>
    </w:p>
    <w:p>
      <w:pPr>
        <w:pStyle w:val="21"/>
        <w:spacing w:after="200" w:line="320" w:lineRule="exact"/>
        <w:ind w:firstLine="400"/>
        <w:jc w:val="left"/>
        <w:rPr>
          <w:rStyle w:val="10"/>
          <w:rFonts w:ascii="Times New Roman" w:hAnsi="Times New Roman" w:eastAsia="楷体" w:cs="Times New Roman"/>
          <w:bCs/>
          <w:color w:val="auto"/>
          <w:sz w:val="20"/>
          <w:szCs w:val="20"/>
        </w:rPr>
      </w:pPr>
      <w:r>
        <w:rPr>
          <w:rStyle w:val="10"/>
          <w:rFonts w:ascii="Times New Roman" w:hAnsi="Times New Roman" w:eastAsia="楷体" w:cs="Times New Roman"/>
          <w:bCs/>
          <w:color w:val="auto"/>
          <w:sz w:val="20"/>
          <w:szCs w:val="20"/>
        </w:rPr>
        <w:t>1．答卷前，考生务必将自己的姓名、准考证号填写在答题卡上。</w:t>
      </w:r>
    </w:p>
    <w:p>
      <w:pPr>
        <w:pStyle w:val="21"/>
        <w:spacing w:after="200" w:line="320" w:lineRule="exact"/>
        <w:ind w:left="709" w:hanging="309"/>
        <w:rPr>
          <w:rStyle w:val="10"/>
          <w:rFonts w:ascii="Times New Roman" w:hAnsi="Times New Roman" w:eastAsia="楷体" w:cs="Times New Roman"/>
          <w:bCs/>
          <w:color w:val="auto"/>
          <w:sz w:val="20"/>
          <w:szCs w:val="20"/>
        </w:rPr>
      </w:pPr>
      <w:r>
        <w:rPr>
          <w:rStyle w:val="10"/>
          <w:rFonts w:ascii="Times New Roman" w:hAnsi="Times New Roman" w:eastAsia="楷体" w:cs="Times New Roman"/>
          <w:color w:val="auto"/>
          <w:sz w:val="20"/>
          <w:szCs w:val="20"/>
        </w:rPr>
        <w:t>2．选择题，用2B铅笔把机读卡上对应题目的答案标号涂黑，如需改动，用橡皮擦干净后，再选涂其他答案，不能答在试题卷上。非选择题的答案用钢笔或签字笔</w:t>
      </w:r>
      <w:r>
        <w:rPr>
          <w:rStyle w:val="10"/>
          <w:rFonts w:ascii="Times New Roman" w:hAnsi="Times New Roman" w:eastAsia="楷体" w:cs="Times New Roman"/>
          <w:bCs/>
          <w:color w:val="auto"/>
          <w:sz w:val="20"/>
          <w:szCs w:val="20"/>
        </w:rPr>
        <w:t>直接写在答题卡上</w:t>
      </w:r>
      <w:r>
        <w:rPr>
          <w:rStyle w:val="10"/>
          <w:rFonts w:ascii="Times New Roman" w:hAnsi="Times New Roman" w:eastAsia="楷体" w:cs="Times New Roman"/>
          <w:color w:val="auto"/>
          <w:sz w:val="20"/>
          <w:szCs w:val="20"/>
        </w:rPr>
        <w:t>。</w:t>
      </w:r>
    </w:p>
    <w:p>
      <w:pPr>
        <w:pStyle w:val="21"/>
        <w:adjustRightInd w:val="0"/>
        <w:snapToGrid w:val="0"/>
        <w:spacing w:after="200" w:line="300" w:lineRule="exact"/>
        <w:ind w:right="1470" w:firstLine="400"/>
        <w:rPr>
          <w:rStyle w:val="10"/>
          <w:rFonts w:ascii="Times New Roman" w:hAnsi="Times New Roman" w:eastAsia="楷体" w:cs="Times New Roman"/>
          <w:color w:val="auto"/>
          <w:sz w:val="20"/>
          <w:szCs w:val="20"/>
        </w:rPr>
      </w:pPr>
      <w:r>
        <w:rPr>
          <w:rStyle w:val="10"/>
          <w:rFonts w:ascii="Times New Roman" w:hAnsi="Times New Roman" w:eastAsia="楷体" w:cs="Times New Roman"/>
          <w:bCs/>
          <w:color w:val="auto"/>
          <w:sz w:val="20"/>
          <w:szCs w:val="20"/>
        </w:rPr>
        <w:t>3</w:t>
      </w:r>
      <w:r>
        <w:rPr>
          <w:rStyle w:val="10"/>
          <w:rFonts w:ascii="Times New Roman" w:hAnsi="Times New Roman" w:eastAsia="楷体" w:cs="Times New Roman"/>
          <w:color w:val="auto"/>
          <w:sz w:val="20"/>
          <w:szCs w:val="20"/>
        </w:rPr>
        <w:t>．</w:t>
      </w:r>
      <w:r>
        <w:rPr>
          <w:rStyle w:val="10"/>
          <w:rFonts w:ascii="Times New Roman" w:hAnsi="Times New Roman" w:eastAsia="楷体" w:cs="Times New Roman"/>
          <w:bCs/>
          <w:color w:val="auto"/>
          <w:sz w:val="20"/>
          <w:szCs w:val="20"/>
        </w:rPr>
        <w:t>考试结束后，将答题卡交回（</w:t>
      </w:r>
      <w:r>
        <w:rPr>
          <w:rStyle w:val="10"/>
          <w:rFonts w:ascii="Times New Roman" w:hAnsi="Times New Roman" w:eastAsia="楷体" w:cs="Times New Roman"/>
          <w:b/>
          <w:color w:val="auto"/>
          <w:sz w:val="20"/>
          <w:szCs w:val="20"/>
        </w:rPr>
        <w:t>试题卷自己保存，以备评讲</w:t>
      </w:r>
      <w:r>
        <w:rPr>
          <w:rStyle w:val="10"/>
          <w:rFonts w:ascii="Times New Roman" w:hAnsi="Times New Roman" w:eastAsia="楷体" w:cs="Times New Roman"/>
          <w:bCs/>
          <w:color w:val="auto"/>
          <w:sz w:val="20"/>
          <w:szCs w:val="20"/>
        </w:rPr>
        <w:t>）。</w:t>
      </w:r>
    </w:p>
    <w:p>
      <w:pPr>
        <w:pStyle w:val="21"/>
        <w:numPr>
          <w:ilvl w:val="0"/>
          <w:numId w:val="1"/>
        </w:numPr>
        <w:adjustRightInd w:val="0"/>
        <w:snapToGrid w:val="0"/>
        <w:spacing w:before="300" w:after="200" w:line="450" w:lineRule="exact"/>
        <w:ind w:left="437" w:hanging="437"/>
        <w:rPr>
          <w:rStyle w:val="10"/>
          <w:rFonts w:ascii="Times New Roman" w:hAnsi="Times New Roman" w:eastAsia="宋体" w:cs="Times New Roman"/>
          <w:b/>
          <w:bCs/>
          <w:color w:val="auto"/>
          <w:szCs w:val="21"/>
        </w:rPr>
      </w:pPr>
      <w:r>
        <w:rPr>
          <w:rStyle w:val="10"/>
          <w:rFonts w:ascii="黑体" w:hAnsi="黑体" w:eastAsia="黑体"/>
          <w:b/>
          <w:color w:val="auto"/>
          <w:szCs w:val="21"/>
        </w:rPr>
        <w:t>选择题</w:t>
      </w:r>
      <w:r>
        <w:rPr>
          <w:rStyle w:val="10"/>
          <w:rFonts w:hint="eastAsia" w:ascii="黑体" w:hAnsi="黑体" w:eastAsia="黑体"/>
          <w:b/>
          <w:bCs/>
          <w:color w:val="auto"/>
          <w:szCs w:val="21"/>
        </w:rPr>
        <w:t>：</w:t>
      </w:r>
      <w:r>
        <w:rPr>
          <w:rStyle w:val="10"/>
          <w:rFonts w:ascii="Times New Roman" w:hAnsi="Times New Roman" w:eastAsia="宋体" w:cs="Times New Roman"/>
          <w:b/>
          <w:bCs/>
          <w:color w:val="auto"/>
          <w:szCs w:val="21"/>
        </w:rPr>
        <w:t>本大题共15个小题，每小题3分，共45分；在每小题的四个备选项中，只有一个最符合题意。</w:t>
      </w:r>
    </w:p>
    <w:p>
      <w:pPr>
        <w:pStyle w:val="21"/>
        <w:adjustRightInd w:val="0"/>
        <w:snapToGrid w:val="0"/>
        <w:spacing w:before="100" w:after="200" w:line="450" w:lineRule="exact"/>
        <w:ind w:firstLine="420"/>
        <w:rPr>
          <w:rStyle w:val="10"/>
          <w:rFonts w:eastAsia="楷体" w:cs="Times New Roman"/>
          <w:bCs/>
          <w:color w:val="auto"/>
          <w:kern w:val="24"/>
          <w:szCs w:val="21"/>
        </w:rPr>
      </w:pPr>
      <w:r>
        <w:rPr>
          <w:rStyle w:val="10"/>
          <w:rFonts w:hint="eastAsia" w:eastAsia="楷体" w:cs="Times New Roman"/>
          <w:bCs/>
          <w:color w:val="auto"/>
          <w:kern w:val="24"/>
          <w:szCs w:val="21"/>
        </w:rPr>
        <w:t>“</w:t>
      </w:r>
      <w:r>
        <w:rPr>
          <w:rStyle w:val="10"/>
          <w:rFonts w:eastAsia="楷体" w:cs="Times New Roman"/>
          <w:bCs/>
          <w:color w:val="auto"/>
          <w:kern w:val="24"/>
          <w:szCs w:val="21"/>
        </w:rPr>
        <w:t>超级物种</w:t>
      </w:r>
      <w:r>
        <w:rPr>
          <w:rStyle w:val="10"/>
          <w:rFonts w:hint="eastAsia" w:eastAsia="楷体" w:cs="Times New Roman"/>
          <w:bCs/>
          <w:color w:val="auto"/>
          <w:kern w:val="24"/>
          <w:szCs w:val="21"/>
        </w:rPr>
        <w:t>”</w:t>
      </w:r>
      <w:r>
        <w:rPr>
          <w:rStyle w:val="10"/>
          <w:rFonts w:eastAsia="楷体" w:cs="Times New Roman"/>
          <w:bCs/>
          <w:color w:val="auto"/>
          <w:kern w:val="24"/>
          <w:szCs w:val="21"/>
        </w:rPr>
        <w:t>是由</w:t>
      </w:r>
      <w:r>
        <w:rPr>
          <w:rStyle w:val="10"/>
          <w:rFonts w:hint="eastAsia" w:eastAsia="楷体" w:cs="Times New Roman"/>
          <w:bCs/>
          <w:color w:val="auto"/>
          <w:kern w:val="24"/>
          <w:szCs w:val="21"/>
        </w:rPr>
        <w:t>某</w:t>
      </w:r>
      <w:r>
        <w:rPr>
          <w:rStyle w:val="10"/>
          <w:rFonts w:eastAsia="楷体" w:cs="Times New Roman"/>
          <w:bCs/>
          <w:color w:val="auto"/>
          <w:kern w:val="24"/>
          <w:szCs w:val="21"/>
        </w:rPr>
        <w:t>超</w:t>
      </w:r>
      <w:r>
        <w:rPr>
          <w:rStyle w:val="10"/>
          <w:rFonts w:ascii="Times New Roman" w:hAnsi="Times New Roman" w:eastAsia="楷体" w:cs="Times New Roman"/>
          <w:bCs/>
          <w:color w:val="auto"/>
          <w:kern w:val="24"/>
          <w:szCs w:val="21"/>
        </w:rPr>
        <w:t>市2017年1月1日</w:t>
      </w:r>
      <w:r>
        <w:rPr>
          <w:rStyle w:val="10"/>
          <w:rFonts w:eastAsia="楷体" w:cs="Times New Roman"/>
          <w:bCs/>
          <w:color w:val="auto"/>
          <w:kern w:val="24"/>
          <w:szCs w:val="21"/>
        </w:rPr>
        <w:t>推出</w:t>
      </w:r>
      <w:r>
        <w:rPr>
          <w:rStyle w:val="10"/>
          <w:rFonts w:hint="eastAsia" w:eastAsia="楷体" w:cs="Times New Roman"/>
          <w:bCs/>
          <w:color w:val="auto"/>
          <w:kern w:val="24"/>
          <w:szCs w:val="21"/>
        </w:rPr>
        <w:t>的一种“</w:t>
      </w:r>
      <w:r>
        <w:rPr>
          <w:rStyle w:val="10"/>
          <w:rFonts w:eastAsia="楷体" w:cs="Times New Roman"/>
          <w:bCs/>
          <w:color w:val="auto"/>
          <w:kern w:val="24"/>
          <w:szCs w:val="21"/>
        </w:rPr>
        <w:t>超市+餐饮+互联网</w:t>
      </w:r>
      <w:r>
        <w:rPr>
          <w:rStyle w:val="10"/>
          <w:rFonts w:hint="eastAsia" w:eastAsia="楷体" w:cs="Times New Roman"/>
          <w:bCs/>
          <w:color w:val="auto"/>
          <w:kern w:val="24"/>
          <w:szCs w:val="21"/>
        </w:rPr>
        <w:t>”的商业模式。“</w:t>
      </w:r>
      <w:r>
        <w:rPr>
          <w:rStyle w:val="10"/>
          <w:rFonts w:eastAsia="楷体" w:cs="Times New Roman"/>
          <w:bCs/>
          <w:color w:val="auto"/>
          <w:kern w:val="24"/>
          <w:szCs w:val="21"/>
        </w:rPr>
        <w:t>超级物种</w:t>
      </w:r>
      <w:r>
        <w:rPr>
          <w:rStyle w:val="10"/>
          <w:rFonts w:hint="eastAsia" w:eastAsia="楷体" w:cs="Times New Roman"/>
          <w:bCs/>
          <w:color w:val="auto"/>
          <w:kern w:val="24"/>
          <w:szCs w:val="21"/>
        </w:rPr>
        <w:t>”</w:t>
      </w:r>
      <w:r>
        <w:rPr>
          <w:rStyle w:val="10"/>
          <w:rFonts w:eastAsia="楷体" w:cs="Times New Roman"/>
          <w:bCs/>
          <w:color w:val="auto"/>
          <w:kern w:val="24"/>
          <w:szCs w:val="21"/>
        </w:rPr>
        <w:t>主打线下业务，</w:t>
      </w:r>
      <w:r>
        <w:rPr>
          <w:rStyle w:val="10"/>
          <w:rFonts w:hint="eastAsia" w:eastAsia="楷体" w:cs="Times New Roman"/>
          <w:bCs/>
          <w:color w:val="auto"/>
          <w:kern w:val="24"/>
          <w:szCs w:val="21"/>
        </w:rPr>
        <w:t>一般布局在繁华的商圈内部，并</w:t>
      </w:r>
      <w:r>
        <w:rPr>
          <w:rStyle w:val="10"/>
          <w:rFonts w:eastAsia="楷体" w:cs="Times New Roman"/>
          <w:bCs/>
          <w:color w:val="auto"/>
          <w:kern w:val="24"/>
          <w:szCs w:val="21"/>
        </w:rPr>
        <w:t>辅之以线上业务。线下实体店为消费者提供购买生鲜食材、店内享受即烹即食的服务</w:t>
      </w:r>
      <w:r>
        <w:rPr>
          <w:rStyle w:val="10"/>
          <w:rFonts w:hint="eastAsia" w:eastAsia="楷体" w:cs="Times New Roman"/>
          <w:bCs/>
          <w:color w:val="auto"/>
          <w:kern w:val="24"/>
          <w:szCs w:val="21"/>
        </w:rPr>
        <w:t>；</w:t>
      </w:r>
      <w:r>
        <w:rPr>
          <w:rStyle w:val="10"/>
          <w:rFonts w:eastAsia="楷体" w:cs="Times New Roman"/>
          <w:bCs/>
          <w:color w:val="auto"/>
          <w:kern w:val="24"/>
          <w:szCs w:val="21"/>
        </w:rPr>
        <w:t>线上以</w:t>
      </w:r>
      <w:r>
        <w:rPr>
          <w:rStyle w:val="10"/>
          <w:rFonts w:hint="eastAsia" w:eastAsia="楷体" w:cs="Times New Roman"/>
          <w:bCs/>
          <w:color w:val="auto"/>
          <w:kern w:val="24"/>
          <w:szCs w:val="21"/>
        </w:rPr>
        <w:t>超市</w:t>
      </w:r>
      <w:r>
        <w:rPr>
          <w:rStyle w:val="10"/>
          <w:rFonts w:eastAsia="楷体" w:cs="Times New Roman"/>
          <w:bCs/>
          <w:color w:val="auto"/>
          <w:kern w:val="24"/>
          <w:szCs w:val="21"/>
        </w:rPr>
        <w:t>生</w:t>
      </w:r>
      <w:r>
        <w:rPr>
          <w:rStyle w:val="10"/>
          <w:rFonts w:ascii="Times New Roman" w:hAnsi="Times New Roman" w:eastAsia="楷体" w:cs="Times New Roman"/>
          <w:bCs/>
          <w:color w:val="auto"/>
          <w:kern w:val="24"/>
          <w:szCs w:val="21"/>
        </w:rPr>
        <w:t>活APP为主体，链接在线支付、扫码购等消费入口，并由第三方专业平台提供配送服务。据此完成1—3题。</w:t>
      </w:r>
    </w:p>
    <w:p>
      <w:pPr>
        <w:pStyle w:val="22"/>
        <w:numPr>
          <w:ilvl w:val="0"/>
          <w:numId w:val="2"/>
        </w:numPr>
        <w:adjustRightInd w:val="0"/>
        <w:snapToGrid w:val="0"/>
        <w:spacing w:after="200" w:line="450" w:lineRule="exact"/>
        <w:jc w:val="left"/>
        <w:textAlignment w:val="baseline"/>
        <w:rPr>
          <w:rStyle w:val="10"/>
          <w:rFonts w:ascii="宋体" w:hAnsi="宋体" w:eastAsia="宋体"/>
          <w:color w:val="auto"/>
          <w:sz w:val="21"/>
          <w:szCs w:val="21"/>
        </w:rPr>
      </w:pPr>
      <w:r>
        <w:rPr>
          <w:rStyle w:val="10"/>
          <w:rFonts w:ascii="宋体" w:hAnsi="宋体" w:eastAsia="宋体"/>
          <w:color w:val="auto"/>
          <w:sz w:val="21"/>
          <w:szCs w:val="21"/>
        </w:rPr>
        <w:t>与传统</w:t>
      </w:r>
      <w:r>
        <w:rPr>
          <w:rStyle w:val="10"/>
          <w:rFonts w:hint="eastAsia" w:ascii="宋体" w:hAnsi="宋体" w:eastAsia="宋体"/>
          <w:color w:val="auto"/>
          <w:sz w:val="21"/>
          <w:szCs w:val="21"/>
        </w:rPr>
        <w:t>大型</w:t>
      </w:r>
      <w:r>
        <w:rPr>
          <w:rStyle w:val="10"/>
          <w:rFonts w:ascii="宋体" w:hAnsi="宋体" w:eastAsia="宋体"/>
          <w:color w:val="auto"/>
          <w:sz w:val="21"/>
          <w:szCs w:val="21"/>
        </w:rPr>
        <w:t>超市相比较，</w:t>
      </w:r>
      <w:r>
        <w:rPr>
          <w:rStyle w:val="10"/>
          <w:rFonts w:hint="eastAsia" w:ascii="宋体" w:hAnsi="宋体" w:eastAsia="宋体"/>
          <w:color w:val="auto"/>
          <w:sz w:val="21"/>
          <w:szCs w:val="21"/>
        </w:rPr>
        <w:t>“</w:t>
      </w:r>
      <w:r>
        <w:rPr>
          <w:rStyle w:val="10"/>
          <w:rFonts w:ascii="宋体" w:hAnsi="宋体" w:eastAsia="宋体"/>
          <w:color w:val="auto"/>
          <w:sz w:val="21"/>
          <w:szCs w:val="21"/>
        </w:rPr>
        <w:t>超级物种</w:t>
      </w:r>
      <w:r>
        <w:rPr>
          <w:rStyle w:val="10"/>
          <w:rFonts w:hint="eastAsia" w:ascii="宋体" w:hAnsi="宋体" w:eastAsia="宋体"/>
          <w:color w:val="auto"/>
          <w:sz w:val="21"/>
          <w:szCs w:val="21"/>
        </w:rPr>
        <w:t>”</w:t>
      </w:r>
      <w:r>
        <w:rPr>
          <w:rStyle w:val="10"/>
          <w:rFonts w:ascii="宋体" w:hAnsi="宋体" w:eastAsia="宋体"/>
          <w:color w:val="auto"/>
          <w:sz w:val="21"/>
          <w:szCs w:val="21"/>
        </w:rPr>
        <w:t>最突出优势</w:t>
      </w:r>
      <w:r>
        <w:rPr>
          <w:rStyle w:val="10"/>
          <w:rFonts w:hint="eastAsia" w:ascii="宋体" w:hAnsi="宋体" w:eastAsia="宋体"/>
          <w:color w:val="auto"/>
          <w:sz w:val="21"/>
          <w:szCs w:val="21"/>
        </w:rPr>
        <w:t>是</w:t>
      </w:r>
    </w:p>
    <w:p>
      <w:pPr>
        <w:pStyle w:val="22"/>
        <w:tabs>
          <w:tab w:val="left" w:pos="567"/>
          <w:tab w:val="left" w:pos="2552"/>
          <w:tab w:val="left" w:pos="4536"/>
          <w:tab w:val="left" w:pos="6521"/>
        </w:tabs>
        <w:adjustRightInd w:val="0"/>
        <w:snapToGrid w:val="0"/>
        <w:spacing w:after="200" w:line="450" w:lineRule="exact"/>
        <w:ind w:left="468"/>
        <w:jc w:val="left"/>
        <w:textAlignment w:val="baseline"/>
        <w:rPr>
          <w:rStyle w:val="10"/>
          <w:rFonts w:eastAsia="宋体"/>
          <w:color w:val="auto"/>
          <w:sz w:val="21"/>
          <w:szCs w:val="21"/>
        </w:rPr>
      </w:pPr>
      <w:r>
        <w:rPr>
          <w:rStyle w:val="10"/>
          <w:rFonts w:eastAsia="宋体"/>
          <w:color w:val="auto"/>
          <w:sz w:val="21"/>
          <w:szCs w:val="21"/>
        </w:rPr>
        <w:t>A．</w:t>
      </w:r>
      <w:r>
        <w:rPr>
          <w:rStyle w:val="10"/>
          <w:rFonts w:hint="eastAsia" w:eastAsia="宋体"/>
          <w:color w:val="auto"/>
          <w:sz w:val="21"/>
          <w:szCs w:val="21"/>
        </w:rPr>
        <w:t>服务范围扩大</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B．</w:t>
      </w:r>
      <w:r>
        <w:rPr>
          <w:rStyle w:val="10"/>
          <w:rFonts w:hint="eastAsia" w:eastAsia="宋体"/>
          <w:color w:val="auto"/>
          <w:sz w:val="21"/>
          <w:szCs w:val="21"/>
        </w:rPr>
        <w:t>服务种类增多</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C．</w:t>
      </w:r>
      <w:r>
        <w:rPr>
          <w:rStyle w:val="10"/>
          <w:rFonts w:hint="eastAsia" w:eastAsia="宋体"/>
          <w:color w:val="auto"/>
          <w:sz w:val="21"/>
          <w:szCs w:val="21"/>
        </w:rPr>
        <w:t>服务级别提升</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D．</w:t>
      </w:r>
      <w:r>
        <w:rPr>
          <w:rStyle w:val="10"/>
          <w:rFonts w:hint="eastAsia" w:eastAsia="宋体"/>
          <w:color w:val="auto"/>
          <w:sz w:val="21"/>
          <w:szCs w:val="21"/>
        </w:rPr>
        <w:t>服务人群丰富</w:t>
      </w:r>
    </w:p>
    <w:p>
      <w:pPr>
        <w:pStyle w:val="22"/>
        <w:numPr>
          <w:ilvl w:val="0"/>
          <w:numId w:val="2"/>
        </w:numPr>
        <w:adjustRightInd w:val="0"/>
        <w:snapToGrid w:val="0"/>
        <w:spacing w:after="200" w:line="450" w:lineRule="exact"/>
        <w:jc w:val="left"/>
        <w:textAlignment w:val="baseline"/>
        <w:rPr>
          <w:rStyle w:val="10"/>
          <w:rFonts w:ascii="宋体" w:hAnsi="宋体" w:eastAsia="宋体"/>
          <w:color w:val="auto"/>
          <w:sz w:val="21"/>
          <w:szCs w:val="21"/>
        </w:rPr>
      </w:pPr>
      <w:r>
        <w:rPr>
          <w:rStyle w:val="10"/>
          <w:rFonts w:hint="eastAsia" w:ascii="宋体" w:hAnsi="宋体" w:eastAsia="宋体"/>
          <w:color w:val="auto"/>
          <w:sz w:val="21"/>
          <w:szCs w:val="21"/>
        </w:rPr>
        <w:t>“</w:t>
      </w:r>
      <w:r>
        <w:rPr>
          <w:rStyle w:val="10"/>
          <w:rFonts w:ascii="宋体" w:hAnsi="宋体" w:eastAsia="宋体"/>
          <w:color w:val="auto"/>
          <w:sz w:val="21"/>
          <w:szCs w:val="21"/>
        </w:rPr>
        <w:t>超级物种</w:t>
      </w:r>
      <w:r>
        <w:rPr>
          <w:rStyle w:val="10"/>
          <w:rFonts w:hint="eastAsia" w:ascii="宋体" w:hAnsi="宋体" w:eastAsia="宋体"/>
          <w:color w:val="auto"/>
          <w:sz w:val="21"/>
          <w:szCs w:val="21"/>
        </w:rPr>
        <w:t>”一般布局在繁华的商圈内部，主要原因是商圈</w:t>
      </w:r>
    </w:p>
    <w:p>
      <w:pPr>
        <w:pStyle w:val="22"/>
        <w:tabs>
          <w:tab w:val="left" w:pos="567"/>
          <w:tab w:val="left" w:pos="2552"/>
          <w:tab w:val="left" w:pos="4536"/>
          <w:tab w:val="left" w:pos="6521"/>
        </w:tabs>
        <w:adjustRightInd w:val="0"/>
        <w:snapToGrid w:val="0"/>
        <w:spacing w:after="200" w:line="450" w:lineRule="exact"/>
        <w:ind w:left="468"/>
        <w:jc w:val="left"/>
        <w:textAlignment w:val="baseline"/>
        <w:rPr>
          <w:rStyle w:val="10"/>
          <w:rFonts w:eastAsia="宋体"/>
          <w:color w:val="auto"/>
          <w:sz w:val="21"/>
          <w:szCs w:val="21"/>
        </w:rPr>
      </w:pPr>
      <w:r>
        <w:rPr>
          <w:rStyle w:val="10"/>
          <w:rFonts w:eastAsia="宋体"/>
          <w:color w:val="auto"/>
          <w:sz w:val="21"/>
          <w:szCs w:val="21"/>
        </w:rPr>
        <w:t>A．</w:t>
      </w:r>
      <w:r>
        <w:rPr>
          <w:rStyle w:val="10"/>
          <w:rFonts w:hint="eastAsia" w:eastAsia="宋体"/>
          <w:color w:val="auto"/>
          <w:sz w:val="21"/>
          <w:szCs w:val="21"/>
        </w:rPr>
        <w:t xml:space="preserve">交通便利 </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B．</w:t>
      </w:r>
      <w:r>
        <w:rPr>
          <w:rStyle w:val="10"/>
          <w:rFonts w:hint="eastAsia" w:eastAsia="宋体"/>
          <w:color w:val="auto"/>
          <w:sz w:val="21"/>
          <w:szCs w:val="21"/>
        </w:rPr>
        <w:t xml:space="preserve">门槛人口高 </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C．</w:t>
      </w:r>
      <w:r>
        <w:rPr>
          <w:rStyle w:val="10"/>
          <w:rFonts w:hint="eastAsia" w:eastAsia="宋体"/>
          <w:color w:val="auto"/>
          <w:sz w:val="21"/>
          <w:szCs w:val="21"/>
        </w:rPr>
        <w:t>劳动力成本低</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D．</w:t>
      </w:r>
      <w:r>
        <w:rPr>
          <w:rStyle w:val="10"/>
          <w:rFonts w:hint="eastAsia" w:eastAsia="宋体"/>
          <w:color w:val="auto"/>
          <w:sz w:val="21"/>
          <w:szCs w:val="21"/>
        </w:rPr>
        <w:t>商业活动集聚</w:t>
      </w:r>
    </w:p>
    <w:p>
      <w:pPr>
        <w:pStyle w:val="22"/>
        <w:numPr>
          <w:ilvl w:val="0"/>
          <w:numId w:val="2"/>
        </w:numPr>
        <w:adjustRightInd w:val="0"/>
        <w:snapToGrid w:val="0"/>
        <w:spacing w:after="200" w:line="450" w:lineRule="exact"/>
        <w:jc w:val="left"/>
        <w:textAlignment w:val="baseline"/>
        <w:rPr>
          <w:rStyle w:val="10"/>
          <w:rFonts w:ascii="宋体" w:hAnsi="宋体" w:eastAsia="宋体"/>
          <w:color w:val="auto"/>
          <w:sz w:val="21"/>
          <w:szCs w:val="21"/>
        </w:rPr>
      </w:pPr>
      <w:r>
        <w:rPr>
          <w:rStyle w:val="10"/>
          <w:rFonts w:hint="eastAsia" w:ascii="宋体" w:hAnsi="宋体" w:eastAsia="宋体"/>
          <w:color w:val="auto"/>
          <w:sz w:val="21"/>
          <w:szCs w:val="21"/>
        </w:rPr>
        <w:t>超市生活</w:t>
      </w:r>
      <w:r>
        <w:rPr>
          <w:rStyle w:val="10"/>
          <w:rFonts w:eastAsia="宋体"/>
          <w:color w:val="auto"/>
          <w:sz w:val="21"/>
          <w:szCs w:val="21"/>
        </w:rPr>
        <w:t>APP</w:t>
      </w:r>
      <w:r>
        <w:rPr>
          <w:rStyle w:val="10"/>
          <w:rFonts w:hint="eastAsia" w:ascii="宋体" w:hAnsi="宋体" w:eastAsia="宋体"/>
          <w:color w:val="auto"/>
          <w:sz w:val="21"/>
          <w:szCs w:val="21"/>
        </w:rPr>
        <w:t>在第三方专业平台运营中发挥的作用是</w:t>
      </w:r>
    </w:p>
    <w:p>
      <w:pPr>
        <w:pStyle w:val="22"/>
        <w:tabs>
          <w:tab w:val="left" w:pos="567"/>
          <w:tab w:val="left" w:pos="2552"/>
          <w:tab w:val="left" w:pos="4536"/>
          <w:tab w:val="left" w:pos="6521"/>
        </w:tabs>
        <w:adjustRightInd w:val="0"/>
        <w:snapToGrid w:val="0"/>
        <w:spacing w:after="200" w:line="450" w:lineRule="exact"/>
        <w:ind w:left="468"/>
        <w:jc w:val="left"/>
        <w:textAlignment w:val="baseline"/>
        <w:rPr>
          <w:rStyle w:val="10"/>
          <w:rFonts w:eastAsia="宋体"/>
          <w:color w:val="auto"/>
          <w:sz w:val="21"/>
          <w:szCs w:val="21"/>
        </w:rPr>
      </w:pPr>
      <w:r>
        <w:rPr>
          <w:rStyle w:val="10"/>
          <w:rFonts w:eastAsia="宋体"/>
          <w:color w:val="auto"/>
          <w:sz w:val="21"/>
          <w:szCs w:val="21"/>
        </w:rPr>
        <w:t>A</w:t>
      </w:r>
      <w:r>
        <w:rPr>
          <w:rStyle w:val="10"/>
          <w:rFonts w:hint="eastAsia" w:eastAsia="宋体"/>
          <w:color w:val="auto"/>
          <w:sz w:val="21"/>
          <w:szCs w:val="21"/>
        </w:rPr>
        <w:t>．大量收集数据</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B．</w:t>
      </w:r>
      <w:r>
        <w:rPr>
          <w:rStyle w:val="10"/>
          <w:rFonts w:hint="eastAsia" w:eastAsia="宋体"/>
          <w:color w:val="auto"/>
          <w:sz w:val="21"/>
          <w:szCs w:val="21"/>
        </w:rPr>
        <w:t xml:space="preserve">快速供应货品 </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C</w:t>
      </w:r>
      <w:r>
        <w:rPr>
          <w:rStyle w:val="10"/>
          <w:rFonts w:hint="eastAsia" w:eastAsia="宋体"/>
          <w:color w:val="auto"/>
          <w:sz w:val="21"/>
          <w:szCs w:val="21"/>
        </w:rPr>
        <w:t>．降低运输成本</w:t>
      </w:r>
      <w:r>
        <w:rPr>
          <w:rStyle w:val="10"/>
          <w:rFonts w:eastAsia="宋体"/>
          <w:color w:val="auto"/>
          <w:sz w:val="21"/>
          <w:szCs w:val="21"/>
        </w:rPr>
        <w:tab/>
      </w:r>
      <w:r>
        <w:rPr>
          <w:rStyle w:val="10"/>
          <w:rFonts w:eastAsia="宋体"/>
          <w:color w:val="auto"/>
          <w:sz w:val="21"/>
          <w:szCs w:val="21"/>
        </w:rPr>
        <w:t>D</w:t>
      </w:r>
      <w:r>
        <w:rPr>
          <w:rStyle w:val="10"/>
          <w:rFonts w:hint="eastAsia" w:eastAsia="宋体"/>
          <w:color w:val="auto"/>
          <w:sz w:val="21"/>
          <w:szCs w:val="21"/>
        </w:rPr>
        <w:t>．提高配送效率</w:t>
      </w:r>
    </w:p>
    <w:p>
      <w:pPr>
        <w:pStyle w:val="21"/>
        <w:adjustRightInd w:val="0"/>
        <w:snapToGrid w:val="0"/>
        <w:spacing w:after="200" w:line="450" w:lineRule="exact"/>
        <w:ind w:firstLine="420"/>
        <w:rPr>
          <w:rStyle w:val="10"/>
          <w:rFonts w:ascii="Times New Roman" w:hAnsi="Times New Roman" w:eastAsia="楷体" w:cs="Times New Roman"/>
          <w:bCs/>
          <w:color w:val="auto"/>
          <w:kern w:val="24"/>
          <w:szCs w:val="21"/>
        </w:rPr>
      </w:pPr>
      <w:r>
        <w:rPr>
          <w:rStyle w:val="10"/>
          <w:rFonts w:eastAsia="楷体" w:cs="Times New Roman"/>
          <w:bCs/>
          <w:color w:val="auto"/>
          <w:kern w:val="24"/>
          <w:szCs w:val="21"/>
        </w:rPr>
        <w:t>总部位于中国，创立</w:t>
      </w:r>
      <w:r>
        <w:rPr>
          <w:rStyle w:val="10"/>
          <w:rFonts w:ascii="Times New Roman" w:hAnsi="Times New Roman" w:eastAsia="楷体" w:cs="Times New Roman"/>
          <w:bCs/>
          <w:color w:val="auto"/>
          <w:kern w:val="24"/>
          <w:szCs w:val="21"/>
        </w:rPr>
        <w:t>于1981年的T公司是一家以生产液晶电视为主的大型电子企业。2004年，T公司完成了对波兰M工厂的收购。被T公司收购后，M工厂主要采用</w:t>
      </w:r>
      <w:r>
        <w:rPr>
          <w:rStyle w:val="10"/>
          <w:rFonts w:hint="eastAsia" w:ascii="Times New Roman" w:hAnsi="Times New Roman" w:eastAsia="楷体" w:cs="Times New Roman"/>
          <w:bCs/>
          <w:color w:val="auto"/>
          <w:kern w:val="24"/>
          <w:szCs w:val="21"/>
        </w:rPr>
        <w:t>“</w:t>
      </w:r>
      <w:r>
        <w:rPr>
          <w:rStyle w:val="10"/>
          <w:rFonts w:ascii="Times New Roman" w:hAnsi="Times New Roman" w:eastAsia="楷体" w:cs="Times New Roman"/>
          <w:bCs/>
          <w:color w:val="auto"/>
          <w:kern w:val="24"/>
          <w:szCs w:val="21"/>
        </w:rPr>
        <w:t>统一大规模生产</w:t>
      </w:r>
      <w:r>
        <w:rPr>
          <w:rStyle w:val="10"/>
          <w:rFonts w:hint="eastAsia" w:ascii="Times New Roman" w:hAnsi="Times New Roman" w:eastAsia="楷体" w:cs="Times New Roman"/>
          <w:bCs/>
          <w:color w:val="auto"/>
          <w:kern w:val="24"/>
          <w:szCs w:val="21"/>
        </w:rPr>
        <w:t>”</w:t>
      </w:r>
      <w:r>
        <w:rPr>
          <w:rStyle w:val="10"/>
          <w:rFonts w:ascii="Times New Roman" w:hAnsi="Times New Roman" w:eastAsia="楷体" w:cs="Times New Roman"/>
          <w:bCs/>
          <w:color w:val="auto"/>
          <w:kern w:val="24"/>
          <w:szCs w:val="21"/>
        </w:rPr>
        <w:t>模式成为T公司在</w:t>
      </w:r>
      <w:r>
        <w:rPr>
          <w:rStyle w:val="10"/>
          <w:rFonts w:hint="eastAsia" w:ascii="Times New Roman" w:hAnsi="Times New Roman" w:eastAsia="楷体" w:cs="Times New Roman"/>
          <w:bCs/>
          <w:color w:val="auto"/>
          <w:kern w:val="24"/>
          <w:szCs w:val="21"/>
        </w:rPr>
        <w:t>“</w:t>
      </w:r>
      <w:r>
        <w:rPr>
          <w:rStyle w:val="10"/>
          <w:rFonts w:ascii="Times New Roman" w:hAnsi="Times New Roman" w:eastAsia="楷体" w:cs="Times New Roman"/>
          <w:bCs/>
          <w:color w:val="auto"/>
          <w:kern w:val="24"/>
          <w:szCs w:val="21"/>
        </w:rPr>
        <w:t>一带一路</w:t>
      </w:r>
      <w:r>
        <w:rPr>
          <w:rStyle w:val="10"/>
          <w:rFonts w:hint="eastAsia" w:ascii="Times New Roman" w:hAnsi="Times New Roman" w:eastAsia="楷体" w:cs="Times New Roman"/>
          <w:bCs/>
          <w:color w:val="auto"/>
          <w:kern w:val="24"/>
          <w:szCs w:val="21"/>
        </w:rPr>
        <w:t>”</w:t>
      </w:r>
      <w:r>
        <w:rPr>
          <w:rStyle w:val="10"/>
          <w:rFonts w:ascii="Times New Roman" w:hAnsi="Times New Roman" w:eastAsia="楷体" w:cs="Times New Roman"/>
          <w:bCs/>
          <w:color w:val="auto"/>
          <w:kern w:val="24"/>
          <w:szCs w:val="21"/>
        </w:rPr>
        <w:t>沿线投资规模最大的工厂。M工厂生产所需零配件的80%</w:t>
      </w:r>
      <w:r>
        <w:rPr>
          <w:rStyle w:val="10"/>
          <w:rFonts w:eastAsia="楷体" w:cs="Times New Roman"/>
          <w:bCs/>
          <w:color w:val="auto"/>
          <w:kern w:val="24"/>
          <w:szCs w:val="21"/>
        </w:rPr>
        <w:t>都来源于中国，原材料的运输主要采用海</w:t>
      </w:r>
      <w:r>
        <w:rPr>
          <w:rStyle w:val="10"/>
          <w:rFonts w:ascii="Times New Roman" w:hAnsi="Times New Roman" w:eastAsia="楷体" w:cs="Times New Roman"/>
          <w:bCs/>
          <w:color w:val="auto"/>
          <w:kern w:val="24"/>
          <w:szCs w:val="21"/>
        </w:rPr>
        <w:t>运。2016年，M工厂采用</w:t>
      </w:r>
      <w:r>
        <w:rPr>
          <w:rStyle w:val="10"/>
          <w:rFonts w:hint="eastAsia" w:ascii="Times New Roman" w:hAnsi="Times New Roman" w:eastAsia="楷体" w:cs="Times New Roman"/>
          <w:bCs/>
          <w:color w:val="auto"/>
          <w:kern w:val="24"/>
          <w:szCs w:val="21"/>
        </w:rPr>
        <w:t>“</w:t>
      </w:r>
      <w:r>
        <w:rPr>
          <w:rStyle w:val="10"/>
          <w:rFonts w:hint="eastAsia" w:eastAsia="楷体"/>
          <w:bCs/>
          <w:color w:val="auto"/>
          <w:kern w:val="24"/>
        </w:rPr>
        <w:t>全球流动的即时生产</w:t>
      </w:r>
      <w:r>
        <w:rPr>
          <w:rStyle w:val="10"/>
          <w:rFonts w:hint="eastAsia" w:ascii="Times New Roman" w:hAnsi="Times New Roman" w:eastAsia="楷体" w:cs="Times New Roman"/>
          <w:bCs/>
          <w:color w:val="auto"/>
          <w:kern w:val="24"/>
          <w:szCs w:val="21"/>
        </w:rPr>
        <w:t>”</w:t>
      </w:r>
      <w:r>
        <w:rPr>
          <w:rStyle w:val="10"/>
          <w:rFonts w:ascii="Times New Roman" w:hAnsi="Times New Roman" w:eastAsia="楷体" w:cs="Times New Roman"/>
          <w:bCs/>
          <w:color w:val="auto"/>
          <w:kern w:val="24"/>
          <w:szCs w:val="21"/>
        </w:rPr>
        <w:t>模式</w:t>
      </w:r>
      <w:r>
        <w:rPr>
          <w:rStyle w:val="10"/>
          <w:rFonts w:hint="eastAsia" w:ascii="Times New Roman" w:hAnsi="Times New Roman" w:eastAsia="楷体" w:cs="Times New Roman"/>
          <w:bCs/>
          <w:color w:val="auto"/>
          <w:kern w:val="24"/>
          <w:szCs w:val="21"/>
        </w:rPr>
        <w:t>（</w:t>
      </w:r>
      <w:r>
        <w:rPr>
          <w:rStyle w:val="10"/>
          <w:rFonts w:ascii="Times New Roman" w:hAnsi="Times New Roman" w:eastAsia="楷体" w:cs="Times New Roman"/>
          <w:bCs/>
          <w:color w:val="auto"/>
          <w:kern w:val="24"/>
          <w:szCs w:val="21"/>
        </w:rPr>
        <w:t>即零配件均来自国外，无配件积压</w:t>
      </w:r>
      <w:r>
        <w:rPr>
          <w:rStyle w:val="10"/>
          <w:rFonts w:hint="eastAsia" w:ascii="Times New Roman" w:hAnsi="Times New Roman" w:eastAsia="楷体" w:cs="Times New Roman"/>
          <w:bCs/>
          <w:color w:val="auto"/>
          <w:kern w:val="24"/>
          <w:szCs w:val="21"/>
        </w:rPr>
        <w:t>）</w:t>
      </w:r>
      <w:r>
        <w:rPr>
          <w:rStyle w:val="10"/>
          <w:rFonts w:ascii="Times New Roman" w:hAnsi="Times New Roman" w:eastAsia="楷体" w:cs="Times New Roman"/>
          <w:bCs/>
          <w:color w:val="auto"/>
          <w:kern w:val="24"/>
          <w:szCs w:val="21"/>
        </w:rPr>
        <w:t>，开始使用中欧班列来运输原材料。</w:t>
      </w:r>
      <w:r>
        <w:rPr>
          <w:rStyle w:val="10"/>
          <w:rFonts w:hint="eastAsia" w:ascii="Times New Roman" w:hAnsi="Times New Roman" w:eastAsia="楷体" w:cs="Times New Roman"/>
          <w:bCs/>
          <w:color w:val="auto"/>
          <w:kern w:val="24"/>
          <w:szCs w:val="21"/>
        </w:rPr>
        <w:t>下表示意两种不同生产模式对比。</w:t>
      </w:r>
      <w:r>
        <w:rPr>
          <w:rStyle w:val="10"/>
          <w:rFonts w:ascii="Times New Roman" w:hAnsi="Times New Roman" w:eastAsia="楷体" w:cs="Times New Roman"/>
          <w:bCs/>
          <w:color w:val="auto"/>
          <w:kern w:val="24"/>
          <w:szCs w:val="21"/>
        </w:rPr>
        <w:t>据此完成4</w:t>
      </w:r>
      <w:r>
        <w:rPr>
          <w:rStyle w:val="10"/>
          <w:rFonts w:hint="eastAsia" w:ascii="Times New Roman" w:hAnsi="Times New Roman" w:eastAsia="楷体" w:cs="Times New Roman"/>
          <w:bCs/>
          <w:color w:val="auto"/>
          <w:kern w:val="24"/>
          <w:szCs w:val="21"/>
        </w:rPr>
        <w:t>—</w:t>
      </w:r>
      <w:r>
        <w:rPr>
          <w:rStyle w:val="10"/>
          <w:rFonts w:ascii="Times New Roman" w:hAnsi="Times New Roman" w:eastAsia="楷体" w:cs="Times New Roman"/>
          <w:bCs/>
          <w:color w:val="auto"/>
          <w:kern w:val="24"/>
          <w:szCs w:val="21"/>
        </w:rPr>
        <w:t>6题。</w:t>
      </w:r>
    </w:p>
    <w:tbl>
      <w:tblPr>
        <w:tblStyle w:val="23"/>
        <w:tblW w:w="7531" w:type="dxa"/>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7"/>
        <w:gridCol w:w="2700"/>
        <w:gridCol w:w="2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847" w:type="dxa"/>
            <w:vAlign w:val="center"/>
          </w:tcPr>
          <w:p>
            <w:pPr>
              <w:pStyle w:val="21"/>
              <w:adjustRightInd w:val="0"/>
              <w:snapToGrid w:val="0"/>
              <w:spacing w:after="200" w:line="340" w:lineRule="exact"/>
              <w:jc w:val="center"/>
              <w:rPr>
                <w:rStyle w:val="10"/>
                <w:rFonts w:ascii="Calibri" w:hAnsi="Calibri" w:eastAsia="楷体" w:cs="Times New Roman"/>
                <w:bCs/>
                <w:color w:val="auto"/>
                <w:kern w:val="24"/>
                <w:sz w:val="20"/>
                <w:szCs w:val="20"/>
              </w:rPr>
            </w:pPr>
            <w:r>
              <w:rPr>
                <w:rStyle w:val="10"/>
                <w:rFonts w:hint="eastAsia" w:ascii="Calibri" w:hAnsi="Calibri" w:eastAsia="楷体" w:cs="Times New Roman"/>
                <w:bCs/>
                <w:color w:val="auto"/>
                <w:kern w:val="24"/>
                <w:sz w:val="20"/>
                <w:szCs w:val="20"/>
              </w:rPr>
              <w:t>生产模式</w:t>
            </w:r>
          </w:p>
        </w:tc>
        <w:tc>
          <w:tcPr>
            <w:tcW w:w="2700" w:type="dxa"/>
            <w:vAlign w:val="center"/>
          </w:tcPr>
          <w:p>
            <w:pPr>
              <w:pStyle w:val="21"/>
              <w:adjustRightInd w:val="0"/>
              <w:snapToGrid w:val="0"/>
              <w:spacing w:after="200" w:line="340" w:lineRule="exact"/>
              <w:jc w:val="center"/>
              <w:rPr>
                <w:rStyle w:val="10"/>
                <w:rFonts w:ascii="Calibri" w:hAnsi="Calibri" w:eastAsia="楷体" w:cs="Times New Roman"/>
                <w:bCs/>
                <w:color w:val="auto"/>
                <w:kern w:val="24"/>
                <w:sz w:val="20"/>
                <w:szCs w:val="20"/>
              </w:rPr>
            </w:pPr>
            <w:r>
              <w:rPr>
                <w:rStyle w:val="10"/>
                <w:rFonts w:hint="eastAsia" w:ascii="Calibri" w:hAnsi="Calibri" w:eastAsia="楷体" w:cs="Times New Roman"/>
                <w:bCs/>
                <w:color w:val="auto"/>
                <w:kern w:val="24"/>
                <w:sz w:val="20"/>
                <w:szCs w:val="20"/>
              </w:rPr>
              <w:t>“统一大规模生产”模式</w:t>
            </w:r>
          </w:p>
          <w:p>
            <w:pPr>
              <w:pStyle w:val="21"/>
              <w:adjustRightInd w:val="0"/>
              <w:snapToGrid w:val="0"/>
              <w:spacing w:after="200" w:line="340" w:lineRule="exact"/>
              <w:jc w:val="center"/>
              <w:rPr>
                <w:rStyle w:val="10"/>
                <w:rFonts w:ascii="Times New Roman" w:hAnsi="Times New Roman" w:eastAsia="楷体" w:cs="Times New Roman"/>
                <w:bCs/>
                <w:color w:val="auto"/>
                <w:kern w:val="24"/>
                <w:sz w:val="20"/>
                <w:szCs w:val="20"/>
              </w:rPr>
            </w:pPr>
            <w:r>
              <w:rPr>
                <w:rStyle w:val="10"/>
                <w:rFonts w:ascii="Times New Roman" w:hAnsi="Times New Roman" w:eastAsia="楷体" w:cs="Times New Roman"/>
                <w:bCs/>
                <w:color w:val="auto"/>
                <w:kern w:val="24"/>
                <w:sz w:val="20"/>
                <w:szCs w:val="20"/>
              </w:rPr>
              <w:t>（2004—2016）</w:t>
            </w:r>
          </w:p>
        </w:tc>
        <w:tc>
          <w:tcPr>
            <w:tcW w:w="2984" w:type="dxa"/>
            <w:vAlign w:val="center"/>
          </w:tcPr>
          <w:p>
            <w:pPr>
              <w:pStyle w:val="21"/>
              <w:adjustRightInd w:val="0"/>
              <w:snapToGrid w:val="0"/>
              <w:spacing w:after="200" w:line="340" w:lineRule="exact"/>
              <w:jc w:val="center"/>
              <w:rPr>
                <w:rStyle w:val="10"/>
                <w:rFonts w:ascii="Calibri" w:hAnsi="Calibri" w:eastAsia="楷体" w:cs="Times New Roman"/>
                <w:bCs/>
                <w:color w:val="auto"/>
                <w:kern w:val="24"/>
                <w:sz w:val="20"/>
                <w:szCs w:val="20"/>
              </w:rPr>
            </w:pPr>
            <w:r>
              <w:rPr>
                <w:rStyle w:val="10"/>
                <w:rFonts w:hint="eastAsia" w:ascii="Calibri" w:hAnsi="Calibri" w:eastAsia="楷体" w:cs="Times New Roman"/>
                <w:bCs/>
                <w:color w:val="auto"/>
                <w:kern w:val="24"/>
                <w:sz w:val="20"/>
                <w:szCs w:val="20"/>
              </w:rPr>
              <w:t>“全球流动的即时生产”模式</w:t>
            </w:r>
          </w:p>
          <w:p>
            <w:pPr>
              <w:pStyle w:val="21"/>
              <w:adjustRightInd w:val="0"/>
              <w:snapToGrid w:val="0"/>
              <w:spacing w:after="200" w:line="340" w:lineRule="exact"/>
              <w:jc w:val="center"/>
              <w:rPr>
                <w:rStyle w:val="10"/>
                <w:rFonts w:ascii="Times New Roman" w:hAnsi="Times New Roman" w:eastAsia="楷体" w:cs="Times New Roman"/>
                <w:bCs/>
                <w:color w:val="auto"/>
                <w:kern w:val="24"/>
                <w:sz w:val="20"/>
                <w:szCs w:val="20"/>
              </w:rPr>
            </w:pPr>
            <w:r>
              <w:rPr>
                <w:rStyle w:val="10"/>
                <w:rFonts w:ascii="Times New Roman" w:hAnsi="Times New Roman" w:eastAsia="楷体" w:cs="Times New Roman"/>
                <w:bCs/>
                <w:color w:val="auto"/>
                <w:kern w:val="24"/>
                <w:sz w:val="20"/>
                <w:szCs w:val="20"/>
              </w:rPr>
              <w:t>（2016年以后）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47" w:type="dxa"/>
            <w:vAlign w:val="center"/>
          </w:tcPr>
          <w:p>
            <w:pPr>
              <w:pStyle w:val="21"/>
              <w:adjustRightInd w:val="0"/>
              <w:snapToGrid w:val="0"/>
              <w:spacing w:after="200" w:line="240" w:lineRule="atLeast"/>
              <w:jc w:val="center"/>
              <w:rPr>
                <w:rStyle w:val="10"/>
                <w:rFonts w:ascii="Calibri" w:hAnsi="Calibri" w:eastAsia="楷体" w:cs="Times New Roman"/>
                <w:bCs/>
                <w:color w:val="auto"/>
                <w:kern w:val="24"/>
                <w:sz w:val="20"/>
                <w:szCs w:val="20"/>
              </w:rPr>
            </w:pPr>
            <w:r>
              <w:rPr>
                <w:rStyle w:val="10"/>
                <w:rFonts w:hint="eastAsia" w:ascii="Calibri" w:hAnsi="Calibri" w:eastAsia="楷体" w:cs="Times New Roman"/>
                <w:bCs/>
                <w:color w:val="auto"/>
                <w:kern w:val="24"/>
                <w:sz w:val="20"/>
                <w:szCs w:val="20"/>
              </w:rPr>
              <w:t>原材料运输时间</w:t>
            </w:r>
          </w:p>
        </w:tc>
        <w:tc>
          <w:tcPr>
            <w:tcW w:w="2700" w:type="dxa"/>
            <w:vAlign w:val="center"/>
          </w:tcPr>
          <w:p>
            <w:pPr>
              <w:pStyle w:val="21"/>
              <w:adjustRightInd w:val="0"/>
              <w:snapToGrid w:val="0"/>
              <w:spacing w:after="200" w:line="240" w:lineRule="atLeast"/>
              <w:jc w:val="center"/>
              <w:rPr>
                <w:rStyle w:val="10"/>
                <w:rFonts w:ascii="Times New Roman" w:hAnsi="Times New Roman" w:eastAsia="楷体" w:cs="Times New Roman"/>
                <w:bCs/>
                <w:color w:val="auto"/>
                <w:kern w:val="24"/>
                <w:sz w:val="20"/>
                <w:szCs w:val="20"/>
              </w:rPr>
            </w:pPr>
            <w:r>
              <w:rPr>
                <w:rStyle w:val="10"/>
                <w:rFonts w:ascii="Times New Roman" w:hAnsi="Times New Roman" w:eastAsia="楷体" w:cs="Times New Roman"/>
                <w:bCs/>
                <w:color w:val="auto"/>
                <w:kern w:val="24"/>
                <w:sz w:val="20"/>
                <w:szCs w:val="20"/>
              </w:rPr>
              <w:t>38天</w:t>
            </w:r>
          </w:p>
        </w:tc>
        <w:tc>
          <w:tcPr>
            <w:tcW w:w="2984" w:type="dxa"/>
            <w:vAlign w:val="center"/>
          </w:tcPr>
          <w:p>
            <w:pPr>
              <w:pStyle w:val="21"/>
              <w:adjustRightInd w:val="0"/>
              <w:snapToGrid w:val="0"/>
              <w:spacing w:after="200" w:line="240" w:lineRule="atLeast"/>
              <w:jc w:val="center"/>
              <w:rPr>
                <w:rStyle w:val="10"/>
                <w:rFonts w:ascii="Times New Roman" w:hAnsi="Times New Roman" w:eastAsia="楷体" w:cs="Times New Roman"/>
                <w:bCs/>
                <w:color w:val="auto"/>
                <w:kern w:val="24"/>
                <w:sz w:val="20"/>
                <w:szCs w:val="20"/>
              </w:rPr>
            </w:pPr>
            <w:r>
              <w:rPr>
                <w:rStyle w:val="10"/>
                <w:rFonts w:ascii="Times New Roman" w:hAnsi="Times New Roman" w:eastAsia="楷体" w:cs="Times New Roman"/>
                <w:bCs/>
                <w:color w:val="auto"/>
                <w:kern w:val="24"/>
                <w:sz w:val="20"/>
                <w:szCs w:val="20"/>
              </w:rPr>
              <w:t>22天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47" w:type="dxa"/>
            <w:vAlign w:val="center"/>
          </w:tcPr>
          <w:p>
            <w:pPr>
              <w:pStyle w:val="21"/>
              <w:adjustRightInd w:val="0"/>
              <w:snapToGrid w:val="0"/>
              <w:spacing w:after="200" w:line="240" w:lineRule="atLeast"/>
              <w:jc w:val="center"/>
              <w:rPr>
                <w:rStyle w:val="10"/>
                <w:rFonts w:ascii="Calibri" w:hAnsi="Calibri" w:eastAsia="楷体" w:cs="Times New Roman"/>
                <w:bCs/>
                <w:color w:val="auto"/>
                <w:kern w:val="24"/>
                <w:sz w:val="20"/>
                <w:szCs w:val="20"/>
              </w:rPr>
            </w:pPr>
            <w:r>
              <w:rPr>
                <w:rStyle w:val="10"/>
                <w:rFonts w:hint="eastAsia" w:ascii="Calibri" w:hAnsi="Calibri" w:eastAsia="楷体" w:cs="Times New Roman"/>
                <w:bCs/>
                <w:color w:val="auto"/>
                <w:kern w:val="24"/>
                <w:sz w:val="20"/>
                <w:szCs w:val="20"/>
              </w:rPr>
              <w:t>原材料库存</w:t>
            </w:r>
          </w:p>
        </w:tc>
        <w:tc>
          <w:tcPr>
            <w:tcW w:w="2700" w:type="dxa"/>
            <w:vAlign w:val="center"/>
          </w:tcPr>
          <w:p>
            <w:pPr>
              <w:pStyle w:val="21"/>
              <w:adjustRightInd w:val="0"/>
              <w:snapToGrid w:val="0"/>
              <w:spacing w:after="200" w:line="240" w:lineRule="atLeast"/>
              <w:jc w:val="center"/>
              <w:rPr>
                <w:rStyle w:val="10"/>
                <w:rFonts w:ascii="Times New Roman" w:hAnsi="Times New Roman" w:eastAsia="楷体" w:cs="Times New Roman"/>
                <w:bCs/>
                <w:color w:val="auto"/>
                <w:kern w:val="24"/>
                <w:sz w:val="20"/>
                <w:szCs w:val="20"/>
              </w:rPr>
            </w:pPr>
            <w:r>
              <w:rPr>
                <w:rStyle w:val="10"/>
                <w:rFonts w:ascii="Times New Roman" w:hAnsi="Times New Roman" w:eastAsia="楷体" w:cs="Times New Roman"/>
                <w:bCs/>
                <w:color w:val="auto"/>
                <w:kern w:val="24"/>
                <w:sz w:val="20"/>
                <w:szCs w:val="20"/>
              </w:rPr>
              <w:t>大量库存</w:t>
            </w:r>
          </w:p>
        </w:tc>
        <w:tc>
          <w:tcPr>
            <w:tcW w:w="2984" w:type="dxa"/>
            <w:vAlign w:val="center"/>
          </w:tcPr>
          <w:p>
            <w:pPr>
              <w:pStyle w:val="21"/>
              <w:adjustRightInd w:val="0"/>
              <w:snapToGrid w:val="0"/>
              <w:spacing w:after="200" w:line="240" w:lineRule="atLeast"/>
              <w:jc w:val="center"/>
              <w:rPr>
                <w:rStyle w:val="10"/>
                <w:rFonts w:ascii="Times New Roman" w:hAnsi="Times New Roman" w:eastAsia="楷体" w:cs="Times New Roman"/>
                <w:bCs/>
                <w:color w:val="auto"/>
                <w:kern w:val="24"/>
                <w:sz w:val="20"/>
                <w:szCs w:val="20"/>
              </w:rPr>
            </w:pPr>
            <w:r>
              <w:rPr>
                <w:rStyle w:val="10"/>
                <w:rFonts w:ascii="Times New Roman" w:hAnsi="Times New Roman" w:eastAsia="楷体" w:cs="Times New Roman"/>
                <w:bCs/>
                <w:color w:val="auto"/>
                <w:kern w:val="24"/>
                <w:sz w:val="20"/>
                <w:szCs w:val="20"/>
              </w:rPr>
              <w:t>无库存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847" w:type="dxa"/>
            <w:vAlign w:val="center"/>
          </w:tcPr>
          <w:p>
            <w:pPr>
              <w:pStyle w:val="21"/>
              <w:adjustRightInd w:val="0"/>
              <w:snapToGrid w:val="0"/>
              <w:spacing w:after="200" w:line="240" w:lineRule="atLeast"/>
              <w:jc w:val="center"/>
              <w:rPr>
                <w:rStyle w:val="10"/>
                <w:rFonts w:ascii="Calibri" w:hAnsi="Calibri" w:eastAsia="楷体" w:cs="Times New Roman"/>
                <w:bCs/>
                <w:color w:val="auto"/>
                <w:kern w:val="24"/>
                <w:sz w:val="20"/>
                <w:szCs w:val="20"/>
              </w:rPr>
            </w:pPr>
            <w:r>
              <w:rPr>
                <w:rStyle w:val="10"/>
                <w:rFonts w:hint="eastAsia" w:ascii="Calibri" w:hAnsi="Calibri" w:eastAsia="楷体" w:cs="Times New Roman"/>
                <w:bCs/>
                <w:color w:val="auto"/>
                <w:kern w:val="24"/>
                <w:sz w:val="20"/>
                <w:szCs w:val="20"/>
              </w:rPr>
              <w:t>生产线</w:t>
            </w:r>
          </w:p>
        </w:tc>
        <w:tc>
          <w:tcPr>
            <w:tcW w:w="2700" w:type="dxa"/>
            <w:vAlign w:val="center"/>
          </w:tcPr>
          <w:p>
            <w:pPr>
              <w:pStyle w:val="21"/>
              <w:adjustRightInd w:val="0"/>
              <w:snapToGrid w:val="0"/>
              <w:spacing w:after="200" w:line="240" w:lineRule="atLeast"/>
              <w:jc w:val="center"/>
              <w:rPr>
                <w:rStyle w:val="10"/>
                <w:rFonts w:ascii="Times New Roman" w:hAnsi="Times New Roman" w:eastAsia="楷体" w:cs="Times New Roman"/>
                <w:bCs/>
                <w:color w:val="auto"/>
                <w:kern w:val="24"/>
                <w:sz w:val="20"/>
                <w:szCs w:val="20"/>
              </w:rPr>
            </w:pPr>
            <w:r>
              <w:rPr>
                <w:rStyle w:val="10"/>
                <w:rFonts w:ascii="Times New Roman" w:hAnsi="Times New Roman" w:eastAsia="楷体" w:cs="Times New Roman"/>
                <w:bCs/>
                <w:color w:val="auto"/>
                <w:kern w:val="24"/>
                <w:sz w:val="20"/>
                <w:szCs w:val="20"/>
              </w:rPr>
              <w:t>1条</w:t>
            </w:r>
          </w:p>
        </w:tc>
        <w:tc>
          <w:tcPr>
            <w:tcW w:w="2984" w:type="dxa"/>
            <w:vAlign w:val="center"/>
          </w:tcPr>
          <w:p>
            <w:pPr>
              <w:pStyle w:val="21"/>
              <w:adjustRightInd w:val="0"/>
              <w:snapToGrid w:val="0"/>
              <w:spacing w:after="200" w:line="240" w:lineRule="atLeast"/>
              <w:jc w:val="center"/>
              <w:rPr>
                <w:rStyle w:val="10"/>
                <w:rFonts w:ascii="Times New Roman" w:hAnsi="Times New Roman" w:eastAsia="楷体" w:cs="Times New Roman"/>
                <w:bCs/>
                <w:color w:val="auto"/>
                <w:kern w:val="24"/>
                <w:sz w:val="20"/>
                <w:szCs w:val="20"/>
              </w:rPr>
            </w:pPr>
            <w:r>
              <w:rPr>
                <w:rStyle w:val="10"/>
                <w:rFonts w:ascii="Times New Roman" w:hAnsi="Times New Roman" w:eastAsia="楷体" w:cs="Times New Roman"/>
                <w:bCs/>
                <w:color w:val="auto"/>
                <w:kern w:val="24"/>
                <w:sz w:val="20"/>
                <w:szCs w:val="20"/>
              </w:rPr>
              <w:t>5条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1847" w:type="dxa"/>
            <w:vAlign w:val="center"/>
          </w:tcPr>
          <w:p>
            <w:pPr>
              <w:pStyle w:val="21"/>
              <w:adjustRightInd w:val="0"/>
              <w:snapToGrid w:val="0"/>
              <w:spacing w:after="200" w:line="340" w:lineRule="exact"/>
              <w:jc w:val="center"/>
              <w:rPr>
                <w:rStyle w:val="10"/>
                <w:rFonts w:ascii="Calibri" w:hAnsi="Calibri" w:eastAsia="楷体" w:cs="Times New Roman"/>
                <w:bCs/>
                <w:color w:val="auto"/>
                <w:kern w:val="24"/>
                <w:sz w:val="20"/>
                <w:szCs w:val="20"/>
              </w:rPr>
            </w:pPr>
            <w:r>
              <w:rPr>
                <w:rStyle w:val="10"/>
                <w:rFonts w:hint="eastAsia" w:ascii="Calibri" w:hAnsi="Calibri" w:eastAsia="楷体" w:cs="Times New Roman"/>
                <w:bCs/>
                <w:color w:val="auto"/>
                <w:kern w:val="24"/>
                <w:sz w:val="20"/>
                <w:szCs w:val="20"/>
              </w:rPr>
              <w:t>产品类型</w:t>
            </w:r>
          </w:p>
        </w:tc>
        <w:tc>
          <w:tcPr>
            <w:tcW w:w="2700" w:type="dxa"/>
            <w:vAlign w:val="center"/>
          </w:tcPr>
          <w:p>
            <w:pPr>
              <w:pStyle w:val="21"/>
              <w:adjustRightInd w:val="0"/>
              <w:snapToGrid w:val="0"/>
              <w:spacing w:after="200" w:line="340" w:lineRule="exact"/>
              <w:jc w:val="center"/>
              <w:rPr>
                <w:rStyle w:val="10"/>
                <w:rFonts w:ascii="Calibri" w:hAnsi="Calibri" w:eastAsia="楷体" w:cs="Times New Roman"/>
                <w:bCs/>
                <w:color w:val="auto"/>
                <w:kern w:val="24"/>
                <w:sz w:val="20"/>
                <w:szCs w:val="20"/>
              </w:rPr>
            </w:pPr>
            <w:r>
              <w:rPr>
                <w:rStyle w:val="10"/>
                <w:rFonts w:hint="eastAsia" w:ascii="Calibri" w:hAnsi="Calibri" w:eastAsia="楷体" w:cs="Times New Roman"/>
                <w:bCs/>
                <w:color w:val="auto"/>
                <w:kern w:val="24"/>
                <w:sz w:val="20"/>
                <w:szCs w:val="20"/>
              </w:rPr>
              <w:t>较为单一，以彩色为主</w:t>
            </w:r>
          </w:p>
        </w:tc>
        <w:tc>
          <w:tcPr>
            <w:tcW w:w="2984" w:type="dxa"/>
            <w:vAlign w:val="center"/>
          </w:tcPr>
          <w:p>
            <w:pPr>
              <w:pStyle w:val="21"/>
              <w:adjustRightInd w:val="0"/>
              <w:snapToGrid w:val="0"/>
              <w:spacing w:after="200" w:line="340" w:lineRule="exact"/>
              <w:jc w:val="center"/>
              <w:rPr>
                <w:rStyle w:val="10"/>
                <w:rFonts w:ascii="Calibri" w:hAnsi="Calibri" w:eastAsia="楷体" w:cs="Times New Roman"/>
                <w:bCs/>
                <w:color w:val="auto"/>
                <w:kern w:val="24"/>
                <w:sz w:val="20"/>
                <w:szCs w:val="20"/>
              </w:rPr>
            </w:pPr>
            <w:r>
              <w:rPr>
                <w:rStyle w:val="10"/>
                <w:rFonts w:hint="eastAsia" w:ascii="Calibri" w:hAnsi="Calibri" w:eastAsia="楷体" w:cs="Times New Roman"/>
                <w:bCs/>
                <w:color w:val="auto"/>
                <w:kern w:val="24"/>
                <w:sz w:val="20"/>
                <w:szCs w:val="20"/>
              </w:rPr>
              <w:t>多样化，彩电、手机及其他代工产品</w:t>
            </w:r>
          </w:p>
        </w:tc>
      </w:tr>
    </w:tbl>
    <w:p>
      <w:pPr>
        <w:pStyle w:val="22"/>
        <w:numPr>
          <w:ilvl w:val="0"/>
          <w:numId w:val="2"/>
        </w:numPr>
        <w:adjustRightInd w:val="0"/>
        <w:snapToGrid w:val="0"/>
        <w:spacing w:after="200" w:line="400" w:lineRule="exact"/>
        <w:jc w:val="left"/>
        <w:textAlignment w:val="baseline"/>
        <w:rPr>
          <w:rStyle w:val="10"/>
          <w:rFonts w:eastAsia="楷体"/>
          <w:bCs/>
          <w:color w:val="auto"/>
          <w:kern w:val="24"/>
          <w:sz w:val="21"/>
          <w:szCs w:val="21"/>
        </w:rPr>
      </w:pPr>
      <w:r>
        <w:rPr>
          <w:rStyle w:val="10"/>
          <w:rFonts w:ascii="宋体" w:hAnsi="宋体" w:eastAsia="宋体"/>
          <w:color w:val="auto"/>
          <w:sz w:val="21"/>
          <w:szCs w:val="21"/>
        </w:rPr>
        <w:t>位于波</w:t>
      </w:r>
      <w:r>
        <w:rPr>
          <w:rStyle w:val="10"/>
          <w:rFonts w:eastAsia="宋体"/>
          <w:color w:val="auto"/>
          <w:sz w:val="21"/>
          <w:szCs w:val="21"/>
        </w:rPr>
        <w:t>兰的M工厂</w:t>
      </w:r>
      <w:r>
        <w:rPr>
          <w:rStyle w:val="10"/>
          <w:rFonts w:ascii="宋体" w:hAnsi="宋体" w:eastAsia="宋体"/>
          <w:color w:val="auto"/>
          <w:sz w:val="21"/>
          <w:szCs w:val="21"/>
        </w:rPr>
        <w:t>生产所需零配件主要来源于中国，主要反映了波兰</w:t>
      </w:r>
    </w:p>
    <w:p>
      <w:pPr>
        <w:pStyle w:val="22"/>
        <w:tabs>
          <w:tab w:val="left" w:pos="567"/>
          <w:tab w:val="left" w:pos="2552"/>
          <w:tab w:val="left" w:pos="4536"/>
          <w:tab w:val="left" w:pos="6521"/>
        </w:tabs>
        <w:adjustRightInd w:val="0"/>
        <w:snapToGrid w:val="0"/>
        <w:spacing w:after="200" w:line="400" w:lineRule="exact"/>
        <w:ind w:left="468"/>
        <w:jc w:val="left"/>
        <w:textAlignment w:val="baseline"/>
        <w:rPr>
          <w:rStyle w:val="10"/>
          <w:rFonts w:eastAsia="宋体"/>
          <w:color w:val="auto"/>
          <w:sz w:val="21"/>
          <w:szCs w:val="21"/>
        </w:rPr>
      </w:pPr>
      <w:r>
        <w:rPr>
          <w:rStyle w:val="10"/>
          <w:rFonts w:eastAsia="宋体"/>
          <w:color w:val="auto"/>
          <w:sz w:val="21"/>
          <w:szCs w:val="21"/>
        </w:rPr>
        <w:t>A</w:t>
      </w:r>
      <w:r>
        <w:rPr>
          <w:rStyle w:val="10"/>
          <w:rFonts w:hint="eastAsia" w:eastAsia="宋体"/>
          <w:color w:val="auto"/>
          <w:sz w:val="21"/>
          <w:szCs w:val="21"/>
        </w:rPr>
        <w:t>．</w:t>
      </w:r>
      <w:r>
        <w:rPr>
          <w:rStyle w:val="10"/>
          <w:rFonts w:eastAsia="宋体"/>
          <w:color w:val="auto"/>
          <w:sz w:val="21"/>
          <w:szCs w:val="21"/>
        </w:rPr>
        <w:t>自然资源贫乏</w:t>
      </w:r>
      <w:r>
        <w:rPr>
          <w:rStyle w:val="10"/>
          <w:rFonts w:eastAsia="宋体"/>
          <w:color w:val="auto"/>
          <w:sz w:val="21"/>
          <w:szCs w:val="21"/>
        </w:rPr>
        <w:tab/>
      </w:r>
      <w:r>
        <w:rPr>
          <w:rStyle w:val="10"/>
          <w:rFonts w:eastAsia="宋体"/>
          <w:color w:val="auto"/>
          <w:sz w:val="21"/>
          <w:szCs w:val="21"/>
        </w:rPr>
        <w:t>B</w:t>
      </w:r>
      <w:r>
        <w:rPr>
          <w:rStyle w:val="10"/>
          <w:rFonts w:hint="eastAsia" w:eastAsia="宋体"/>
          <w:color w:val="auto"/>
          <w:sz w:val="21"/>
          <w:szCs w:val="21"/>
        </w:rPr>
        <w:t>．</w:t>
      </w:r>
      <w:r>
        <w:rPr>
          <w:rStyle w:val="10"/>
          <w:rFonts w:eastAsia="宋体"/>
          <w:color w:val="auto"/>
          <w:sz w:val="21"/>
          <w:szCs w:val="21"/>
        </w:rPr>
        <w:t>重工业落后</w:t>
      </w:r>
      <w:r>
        <w:rPr>
          <w:rStyle w:val="10"/>
          <w:rFonts w:eastAsia="宋体"/>
          <w:color w:val="auto"/>
          <w:sz w:val="21"/>
          <w:szCs w:val="21"/>
        </w:rPr>
        <w:tab/>
      </w:r>
      <w:r>
        <w:rPr>
          <w:rStyle w:val="10"/>
          <w:rFonts w:eastAsia="宋体"/>
          <w:color w:val="auto"/>
          <w:sz w:val="21"/>
          <w:szCs w:val="21"/>
        </w:rPr>
        <w:t>C</w:t>
      </w:r>
      <w:r>
        <w:rPr>
          <w:rStyle w:val="10"/>
          <w:rFonts w:hint="eastAsia" w:eastAsia="宋体"/>
          <w:color w:val="auto"/>
          <w:sz w:val="21"/>
          <w:szCs w:val="21"/>
        </w:rPr>
        <w:t>．</w:t>
      </w:r>
      <w:r>
        <w:rPr>
          <w:rStyle w:val="10"/>
          <w:rFonts w:eastAsia="宋体"/>
          <w:color w:val="auto"/>
          <w:sz w:val="21"/>
          <w:szCs w:val="21"/>
        </w:rPr>
        <w:t>产业链不完善</w:t>
      </w:r>
      <w:r>
        <w:rPr>
          <w:rStyle w:val="10"/>
          <w:rFonts w:hint="eastAsia"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D</w:t>
      </w:r>
      <w:r>
        <w:rPr>
          <w:rStyle w:val="10"/>
          <w:rFonts w:hint="eastAsia" w:eastAsia="宋体"/>
          <w:color w:val="auto"/>
          <w:sz w:val="21"/>
          <w:szCs w:val="21"/>
        </w:rPr>
        <w:t>．</w:t>
      </w:r>
      <w:r>
        <w:rPr>
          <w:rStyle w:val="10"/>
          <w:rFonts w:eastAsia="宋体"/>
          <w:color w:val="auto"/>
          <w:sz w:val="21"/>
          <w:szCs w:val="21"/>
        </w:rPr>
        <w:t>市场较狭小</w:t>
      </w:r>
    </w:p>
    <w:p>
      <w:pPr>
        <w:pStyle w:val="22"/>
        <w:numPr>
          <w:ilvl w:val="0"/>
          <w:numId w:val="2"/>
        </w:numPr>
        <w:adjustRightInd w:val="0"/>
        <w:snapToGrid w:val="0"/>
        <w:spacing w:after="200" w:line="400" w:lineRule="exact"/>
        <w:textAlignment w:val="baseline"/>
        <w:rPr>
          <w:rStyle w:val="10"/>
          <w:rFonts w:ascii="宋体" w:hAnsi="宋体" w:eastAsia="宋体"/>
          <w:color w:val="auto"/>
          <w:spacing w:val="3"/>
          <w:sz w:val="21"/>
          <w:szCs w:val="21"/>
        </w:rPr>
      </w:pPr>
      <w:r>
        <w:rPr>
          <w:rStyle w:val="10"/>
          <w:rFonts w:ascii="宋体" w:hAnsi="宋体" w:eastAsia="宋体"/>
          <w:color w:val="auto"/>
          <w:spacing w:val="3"/>
          <w:sz w:val="21"/>
          <w:szCs w:val="21"/>
        </w:rPr>
        <w:t>促</w:t>
      </w:r>
      <w:r>
        <w:rPr>
          <w:rStyle w:val="10"/>
          <w:rFonts w:eastAsia="宋体"/>
          <w:color w:val="auto"/>
          <w:spacing w:val="3"/>
          <w:sz w:val="21"/>
          <w:szCs w:val="21"/>
        </w:rPr>
        <w:t>使M工</w:t>
      </w:r>
      <w:r>
        <w:rPr>
          <w:rStyle w:val="10"/>
          <w:rFonts w:ascii="宋体" w:hAnsi="宋体" w:eastAsia="宋体"/>
          <w:color w:val="auto"/>
          <w:spacing w:val="3"/>
          <w:sz w:val="21"/>
          <w:szCs w:val="21"/>
        </w:rPr>
        <w:t>厂由“统一大规模生产”模式向“全球流动的即时生产”模式转变的主导因素是</w:t>
      </w:r>
    </w:p>
    <w:p>
      <w:pPr>
        <w:pStyle w:val="22"/>
        <w:tabs>
          <w:tab w:val="left" w:pos="567"/>
          <w:tab w:val="left" w:pos="2552"/>
          <w:tab w:val="left" w:pos="4536"/>
          <w:tab w:val="left" w:pos="6521"/>
        </w:tabs>
        <w:adjustRightInd w:val="0"/>
        <w:snapToGrid w:val="0"/>
        <w:spacing w:after="200" w:line="400" w:lineRule="exact"/>
        <w:ind w:left="468"/>
        <w:jc w:val="left"/>
        <w:textAlignment w:val="baseline"/>
        <w:rPr>
          <w:rStyle w:val="10"/>
          <w:rFonts w:eastAsia="宋体"/>
          <w:color w:val="auto"/>
          <w:sz w:val="21"/>
          <w:szCs w:val="21"/>
        </w:rPr>
      </w:pPr>
      <w:r>
        <w:rPr>
          <w:rStyle w:val="10"/>
          <w:rFonts w:eastAsia="宋体"/>
          <w:color w:val="auto"/>
          <w:sz w:val="21"/>
          <w:szCs w:val="21"/>
        </w:rPr>
        <w:t>A</w:t>
      </w:r>
      <w:r>
        <w:rPr>
          <w:rStyle w:val="10"/>
          <w:rFonts w:hint="eastAsia" w:eastAsia="宋体"/>
          <w:color w:val="auto"/>
          <w:sz w:val="21"/>
          <w:szCs w:val="21"/>
        </w:rPr>
        <w:t>．</w:t>
      </w:r>
      <w:r>
        <w:rPr>
          <w:rStyle w:val="10"/>
          <w:rFonts w:eastAsia="宋体"/>
          <w:color w:val="auto"/>
          <w:sz w:val="21"/>
          <w:szCs w:val="21"/>
        </w:rPr>
        <w:t xml:space="preserve">交通 </w:t>
      </w:r>
      <w:r>
        <w:rPr>
          <w:rStyle w:val="10"/>
          <w:rFonts w:eastAsia="宋体"/>
          <w:color w:val="auto"/>
          <w:sz w:val="21"/>
          <w:szCs w:val="21"/>
        </w:rPr>
        <w:tab/>
      </w:r>
      <w:r>
        <w:rPr>
          <w:rStyle w:val="10"/>
          <w:rFonts w:eastAsia="宋体"/>
          <w:color w:val="auto"/>
          <w:sz w:val="21"/>
          <w:szCs w:val="21"/>
        </w:rPr>
        <w:t>B</w:t>
      </w:r>
      <w:r>
        <w:rPr>
          <w:rStyle w:val="10"/>
          <w:rFonts w:hint="eastAsia" w:eastAsia="宋体"/>
          <w:color w:val="auto"/>
          <w:sz w:val="21"/>
          <w:szCs w:val="21"/>
        </w:rPr>
        <w:t>．</w:t>
      </w:r>
      <w:r>
        <w:rPr>
          <w:rStyle w:val="10"/>
          <w:rFonts w:eastAsia="宋体"/>
          <w:color w:val="auto"/>
          <w:sz w:val="21"/>
          <w:szCs w:val="21"/>
        </w:rPr>
        <w:t>技术</w:t>
      </w:r>
      <w:r>
        <w:rPr>
          <w:rStyle w:val="10"/>
          <w:rFonts w:eastAsia="宋体"/>
          <w:color w:val="auto"/>
          <w:sz w:val="21"/>
          <w:szCs w:val="21"/>
        </w:rPr>
        <w:tab/>
      </w:r>
      <w:r>
        <w:rPr>
          <w:rStyle w:val="10"/>
          <w:rFonts w:eastAsia="宋体"/>
          <w:color w:val="auto"/>
          <w:sz w:val="21"/>
          <w:szCs w:val="21"/>
        </w:rPr>
        <w:t>C</w:t>
      </w:r>
      <w:r>
        <w:rPr>
          <w:rStyle w:val="10"/>
          <w:rFonts w:hint="eastAsia" w:eastAsia="宋体"/>
          <w:color w:val="auto"/>
          <w:sz w:val="21"/>
          <w:szCs w:val="21"/>
        </w:rPr>
        <w:t>．</w:t>
      </w:r>
      <w:r>
        <w:rPr>
          <w:rStyle w:val="10"/>
          <w:rFonts w:eastAsia="宋体"/>
          <w:color w:val="auto"/>
          <w:sz w:val="21"/>
          <w:szCs w:val="21"/>
        </w:rPr>
        <w:t>市场</w:t>
      </w:r>
      <w:r>
        <w:rPr>
          <w:rStyle w:val="10"/>
          <w:rFonts w:hint="eastAsia" w:eastAsia="宋体"/>
          <w:color w:val="auto"/>
          <w:sz w:val="21"/>
          <w:szCs w:val="21"/>
        </w:rPr>
        <w:t xml:space="preserve"> </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D</w:t>
      </w:r>
      <w:r>
        <w:rPr>
          <w:rStyle w:val="10"/>
          <w:rFonts w:hint="eastAsia" w:eastAsia="宋体"/>
          <w:color w:val="auto"/>
          <w:sz w:val="21"/>
          <w:szCs w:val="21"/>
        </w:rPr>
        <w:t>．</w:t>
      </w:r>
      <w:r>
        <w:rPr>
          <w:rStyle w:val="10"/>
          <w:rFonts w:eastAsia="宋体"/>
          <w:color w:val="auto"/>
          <w:sz w:val="21"/>
          <w:szCs w:val="21"/>
        </w:rPr>
        <w:t>政策</w:t>
      </w:r>
    </w:p>
    <w:p>
      <w:pPr>
        <w:pStyle w:val="22"/>
        <w:numPr>
          <w:ilvl w:val="0"/>
          <w:numId w:val="2"/>
        </w:numPr>
        <w:adjustRightInd w:val="0"/>
        <w:snapToGrid w:val="0"/>
        <w:spacing w:after="200" w:line="400" w:lineRule="exact"/>
        <w:jc w:val="left"/>
        <w:textAlignment w:val="baseline"/>
        <w:rPr>
          <w:rStyle w:val="10"/>
          <w:rFonts w:ascii="宋体" w:hAnsi="宋体" w:eastAsia="宋体"/>
          <w:color w:val="auto"/>
          <w:sz w:val="21"/>
          <w:szCs w:val="21"/>
        </w:rPr>
      </w:pPr>
      <w:r>
        <w:rPr>
          <w:rStyle w:val="10"/>
          <w:rFonts w:hint="eastAsia" w:ascii="宋体" w:hAnsi="宋体" w:eastAsia="宋体"/>
          <w:color w:val="auto"/>
          <w:sz w:val="21"/>
          <w:szCs w:val="21"/>
        </w:rPr>
        <w:t>与“统一大规模生产”模式相比，“全球流动的即时生产”模式主要降低了</w:t>
      </w:r>
    </w:p>
    <w:p>
      <w:pPr>
        <w:pStyle w:val="22"/>
        <w:tabs>
          <w:tab w:val="left" w:pos="567"/>
          <w:tab w:val="left" w:pos="2552"/>
          <w:tab w:val="left" w:pos="4536"/>
          <w:tab w:val="left" w:pos="6521"/>
        </w:tabs>
        <w:adjustRightInd w:val="0"/>
        <w:snapToGrid w:val="0"/>
        <w:spacing w:after="200" w:line="400" w:lineRule="exact"/>
        <w:ind w:left="468"/>
        <w:jc w:val="left"/>
        <w:textAlignment w:val="baseline"/>
        <w:rPr>
          <w:rStyle w:val="10"/>
          <w:rFonts w:eastAsia="宋体"/>
          <w:color w:val="auto"/>
          <w:sz w:val="21"/>
          <w:szCs w:val="21"/>
        </w:rPr>
      </w:pPr>
      <w:r>
        <w:rPr>
          <w:rStyle w:val="10"/>
          <w:rFonts w:eastAsia="宋体"/>
          <w:color w:val="auto"/>
          <w:sz w:val="21"/>
          <w:szCs w:val="21"/>
        </w:rPr>
        <w:t>A</w:t>
      </w:r>
      <w:r>
        <w:rPr>
          <w:rStyle w:val="10"/>
          <w:rFonts w:hint="eastAsia" w:eastAsia="宋体"/>
          <w:color w:val="auto"/>
          <w:sz w:val="21"/>
          <w:szCs w:val="21"/>
        </w:rPr>
        <w:t>．</w:t>
      </w:r>
      <w:r>
        <w:rPr>
          <w:rStyle w:val="10"/>
          <w:rFonts w:eastAsia="宋体"/>
          <w:color w:val="auto"/>
          <w:sz w:val="21"/>
          <w:szCs w:val="21"/>
        </w:rPr>
        <w:t>运输成本</w:t>
      </w:r>
      <w:r>
        <w:rPr>
          <w:rStyle w:val="10"/>
          <w:rFonts w:hint="eastAsia" w:eastAsia="宋体"/>
          <w:color w:val="auto"/>
          <w:sz w:val="21"/>
          <w:szCs w:val="21"/>
        </w:rPr>
        <w:t xml:space="preserve"> </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B</w:t>
      </w:r>
      <w:r>
        <w:rPr>
          <w:rStyle w:val="10"/>
          <w:rFonts w:hint="eastAsia" w:eastAsia="宋体"/>
          <w:color w:val="auto"/>
          <w:sz w:val="21"/>
          <w:szCs w:val="21"/>
        </w:rPr>
        <w:t>．</w:t>
      </w:r>
      <w:r>
        <w:rPr>
          <w:rStyle w:val="10"/>
          <w:rFonts w:eastAsia="宋体"/>
          <w:color w:val="auto"/>
          <w:sz w:val="21"/>
          <w:szCs w:val="21"/>
        </w:rPr>
        <w:t>仓储成本</w:t>
      </w:r>
      <w:r>
        <w:rPr>
          <w:rStyle w:val="10"/>
          <w:rFonts w:eastAsia="宋体"/>
          <w:color w:val="auto"/>
          <w:sz w:val="21"/>
          <w:szCs w:val="21"/>
        </w:rPr>
        <w:tab/>
      </w:r>
      <w:r>
        <w:rPr>
          <w:rStyle w:val="10"/>
          <w:rFonts w:eastAsia="宋体"/>
          <w:color w:val="auto"/>
          <w:sz w:val="21"/>
          <w:szCs w:val="21"/>
        </w:rPr>
        <w:t>C</w:t>
      </w:r>
      <w:r>
        <w:rPr>
          <w:rStyle w:val="10"/>
          <w:rFonts w:hint="eastAsia" w:eastAsia="宋体"/>
          <w:color w:val="auto"/>
          <w:sz w:val="21"/>
          <w:szCs w:val="21"/>
        </w:rPr>
        <w:t>．</w:t>
      </w:r>
      <w:r>
        <w:rPr>
          <w:rStyle w:val="10"/>
          <w:rFonts w:eastAsia="宋体"/>
          <w:color w:val="auto"/>
          <w:sz w:val="21"/>
          <w:szCs w:val="21"/>
        </w:rPr>
        <w:t>营销成本</w:t>
      </w:r>
      <w:r>
        <w:rPr>
          <w:rStyle w:val="10"/>
          <w:rFonts w:hint="eastAsia" w:eastAsia="宋体"/>
          <w:color w:val="auto"/>
          <w:sz w:val="21"/>
          <w:szCs w:val="21"/>
        </w:rPr>
        <w:t xml:space="preserve"> </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D</w:t>
      </w:r>
      <w:r>
        <w:rPr>
          <w:rStyle w:val="10"/>
          <w:rFonts w:hint="eastAsia" w:eastAsia="宋体"/>
          <w:color w:val="auto"/>
          <w:sz w:val="21"/>
          <w:szCs w:val="21"/>
        </w:rPr>
        <w:t>．</w:t>
      </w:r>
      <w:r>
        <w:rPr>
          <w:rStyle w:val="10"/>
          <w:rFonts w:eastAsia="宋体"/>
          <w:color w:val="auto"/>
          <w:sz w:val="21"/>
          <w:szCs w:val="21"/>
        </w:rPr>
        <w:t>劳动力成本</w:t>
      </w:r>
    </w:p>
    <w:p>
      <w:pPr>
        <w:pStyle w:val="21"/>
        <w:spacing w:after="200" w:line="400" w:lineRule="exact"/>
        <w:ind w:firstLine="420"/>
        <w:rPr>
          <w:rStyle w:val="10"/>
          <w:rFonts w:ascii="Times New Roman" w:hAnsi="Times New Roman" w:eastAsia="楷体" w:cs="Times New Roman"/>
          <w:color w:val="auto"/>
          <w:szCs w:val="21"/>
        </w:rPr>
      </w:pPr>
      <w:r>
        <w:rPr>
          <w:rStyle w:val="10"/>
          <w:rFonts w:hint="eastAsia" w:ascii="Calibri" w:hAnsi="Calibri" w:eastAsia="宋体" w:cs="Vrinda"/>
          <w:color w:val="auto"/>
          <w:szCs w:val="21"/>
        </w:rPr>
        <w:drawing>
          <wp:anchor distT="0" distB="0" distL="114300" distR="114300" simplePos="0" relativeHeight="251662336" behindDoc="1" locked="0" layoutInCell="1" allowOverlap="1">
            <wp:simplePos x="0" y="0"/>
            <wp:positionH relativeFrom="column">
              <wp:posOffset>3697605</wp:posOffset>
            </wp:positionH>
            <wp:positionV relativeFrom="page">
              <wp:posOffset>4262120</wp:posOffset>
            </wp:positionV>
            <wp:extent cx="1709420" cy="1650365"/>
            <wp:effectExtent l="0" t="0" r="5080" b="6985"/>
            <wp:wrapTight wrapText="bothSides">
              <wp:wrapPolygon>
                <wp:start x="0" y="0"/>
                <wp:lineTo x="0" y="21442"/>
                <wp:lineTo x="21423" y="21442"/>
                <wp:lineTo x="21423"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extLst>
                        <a:ext uri="{28A0092B-C50C-407E-A947-70E740481C1C}">
                          <a14:useLocalDpi xmlns:a14="http://schemas.microsoft.com/office/drawing/2010/main" val="0"/>
                        </a:ext>
                      </a:extLst>
                    </a:blip>
                    <a:srcRect l="11302" t="3676" b="33446"/>
                    <a:stretch>
                      <a:fillRect/>
                    </a:stretch>
                  </pic:blipFill>
                  <pic:spPr>
                    <a:xfrm>
                      <a:off x="0" y="0"/>
                      <a:ext cx="1709420" cy="1650365"/>
                    </a:xfrm>
                    <a:prstGeom prst="rect">
                      <a:avLst/>
                    </a:prstGeom>
                    <a:ln>
                      <a:noFill/>
                    </a:ln>
                  </pic:spPr>
                </pic:pic>
              </a:graphicData>
            </a:graphic>
          </wp:anchor>
        </w:drawing>
      </w:r>
      <w:r>
        <w:rPr>
          <w:rStyle w:val="10"/>
          <w:rFonts w:hint="eastAsia" w:ascii="Times New Roman" w:hAnsi="楷体" w:eastAsia="楷体" w:cs="Times New Roman"/>
          <w:color w:val="auto"/>
          <w:szCs w:val="21"/>
        </w:rPr>
        <w:t>贵阳黔春立交桥位于贵阳市云岩区北京西路黔春隧道和海马冲隧道之间，需要穿越川黔铁路。该立交的最大垂直落差</w:t>
      </w:r>
      <w:r>
        <w:rPr>
          <w:rStyle w:val="10"/>
          <w:rFonts w:ascii="Times New Roman" w:hAnsi="Times New Roman" w:eastAsia="楷体" w:cs="Times New Roman"/>
          <w:color w:val="auto"/>
          <w:szCs w:val="21"/>
        </w:rPr>
        <w:t>为55米，有5层立体交叉，共有11条匝道，8个出入口，两条主线加匝道总长为5270米。据此完成7</w:t>
      </w:r>
      <w:r>
        <w:rPr>
          <w:rStyle w:val="10"/>
          <w:rFonts w:hint="eastAsia" w:ascii="Times New Roman" w:hAnsi="Times New Roman" w:eastAsia="楷体" w:cs="Times New Roman"/>
          <w:bCs/>
          <w:color w:val="auto"/>
          <w:kern w:val="24"/>
          <w:szCs w:val="21"/>
        </w:rPr>
        <w:t>—</w:t>
      </w:r>
      <w:r>
        <w:rPr>
          <w:rStyle w:val="10"/>
          <w:rFonts w:ascii="Times New Roman" w:hAnsi="Times New Roman" w:eastAsia="楷体" w:cs="Times New Roman"/>
          <w:bCs/>
          <w:color w:val="auto"/>
          <w:kern w:val="24"/>
          <w:szCs w:val="21"/>
        </w:rPr>
        <w:t>8题。</w:t>
      </w:r>
    </w:p>
    <w:p>
      <w:pPr>
        <w:pStyle w:val="22"/>
        <w:numPr>
          <w:ilvl w:val="0"/>
          <w:numId w:val="2"/>
        </w:numPr>
        <w:adjustRightInd w:val="0"/>
        <w:snapToGrid w:val="0"/>
        <w:spacing w:after="200" w:line="400" w:lineRule="exact"/>
        <w:jc w:val="left"/>
        <w:textAlignment w:val="baseline"/>
        <w:rPr>
          <w:rStyle w:val="10"/>
          <w:rFonts w:eastAsia="宋体"/>
          <w:color w:val="auto"/>
          <w:sz w:val="21"/>
          <w:szCs w:val="21"/>
        </w:rPr>
      </w:pPr>
      <w:r>
        <w:rPr>
          <w:rStyle w:val="10"/>
          <w:rFonts w:hint="eastAsia" w:hAnsi="宋体" w:eastAsia="宋体"/>
          <w:color w:val="auto"/>
          <w:sz w:val="21"/>
          <w:szCs w:val="21"/>
        </w:rPr>
        <w:t xml:space="preserve">黔春立交桥设计复杂的主要影响因素是  </w:t>
      </w:r>
    </w:p>
    <w:p>
      <w:pPr>
        <w:pStyle w:val="22"/>
        <w:tabs>
          <w:tab w:val="left" w:pos="567"/>
          <w:tab w:val="left" w:pos="2552"/>
          <w:tab w:val="left" w:pos="4536"/>
          <w:tab w:val="left" w:pos="6521"/>
        </w:tabs>
        <w:adjustRightInd w:val="0"/>
        <w:snapToGrid w:val="0"/>
        <w:spacing w:after="200" w:line="400" w:lineRule="exact"/>
        <w:ind w:left="468"/>
        <w:jc w:val="left"/>
        <w:textAlignment w:val="baseline"/>
        <w:rPr>
          <w:rStyle w:val="10"/>
          <w:rFonts w:eastAsia="宋体"/>
          <w:color w:val="auto"/>
          <w:sz w:val="21"/>
          <w:szCs w:val="21"/>
        </w:rPr>
      </w:pPr>
      <w:r>
        <w:rPr>
          <w:rStyle w:val="10"/>
          <w:rFonts w:eastAsia="宋体"/>
          <w:color w:val="auto"/>
          <w:sz w:val="21"/>
          <w:szCs w:val="21"/>
        </w:rPr>
        <w:t>A．</w:t>
      </w:r>
      <w:r>
        <w:rPr>
          <w:rStyle w:val="10"/>
          <w:rFonts w:hint="eastAsia" w:eastAsia="宋体"/>
          <w:color w:val="auto"/>
          <w:sz w:val="21"/>
          <w:szCs w:val="21"/>
        </w:rPr>
        <w:t>地形</w:t>
      </w:r>
      <w:r>
        <w:rPr>
          <w:rStyle w:val="10"/>
          <w:rFonts w:hint="eastAsia" w:eastAsia="宋体"/>
          <w:color w:val="auto"/>
          <w:sz w:val="21"/>
          <w:szCs w:val="21"/>
        </w:rPr>
        <w:tab/>
      </w:r>
      <w:r>
        <w:rPr>
          <w:rStyle w:val="10"/>
          <w:rFonts w:eastAsia="宋体"/>
          <w:color w:val="auto"/>
          <w:sz w:val="21"/>
          <w:szCs w:val="21"/>
        </w:rPr>
        <w:t>B．</w:t>
      </w:r>
      <w:r>
        <w:rPr>
          <w:rStyle w:val="10"/>
          <w:rFonts w:hint="eastAsia" w:eastAsia="宋体"/>
          <w:color w:val="auto"/>
          <w:sz w:val="21"/>
          <w:szCs w:val="21"/>
        </w:rPr>
        <w:t>河流</w:t>
      </w:r>
      <w:r>
        <w:rPr>
          <w:rStyle w:val="10"/>
          <w:rFonts w:hint="eastAsia" w:eastAsia="宋体"/>
          <w:color w:val="auto"/>
          <w:sz w:val="21"/>
          <w:szCs w:val="21"/>
        </w:rPr>
        <w:tab/>
      </w:r>
    </w:p>
    <w:p>
      <w:pPr>
        <w:pStyle w:val="22"/>
        <w:tabs>
          <w:tab w:val="left" w:pos="567"/>
          <w:tab w:val="left" w:pos="2552"/>
          <w:tab w:val="left" w:pos="4536"/>
          <w:tab w:val="left" w:pos="6521"/>
        </w:tabs>
        <w:adjustRightInd w:val="0"/>
        <w:snapToGrid w:val="0"/>
        <w:spacing w:after="200" w:line="400" w:lineRule="exact"/>
        <w:ind w:left="468"/>
        <w:jc w:val="left"/>
        <w:textAlignment w:val="baseline"/>
        <w:rPr>
          <w:rStyle w:val="10"/>
          <w:rFonts w:eastAsia="宋体"/>
          <w:color w:val="auto"/>
          <w:sz w:val="21"/>
          <w:szCs w:val="21"/>
        </w:rPr>
      </w:pPr>
      <w:r>
        <w:rPr>
          <w:rStyle w:val="10"/>
          <w:rFonts w:eastAsia="宋体"/>
          <w:color w:val="auto"/>
          <w:sz w:val="21"/>
          <w:szCs w:val="21"/>
        </w:rPr>
        <w:t>C．</w:t>
      </w:r>
      <w:r>
        <w:rPr>
          <w:rStyle w:val="10"/>
          <w:rFonts w:hint="eastAsia" w:eastAsia="宋体"/>
          <w:color w:val="auto"/>
          <w:sz w:val="21"/>
          <w:szCs w:val="21"/>
        </w:rPr>
        <w:t>耕地</w:t>
      </w:r>
      <w:r>
        <w:rPr>
          <w:rStyle w:val="10"/>
          <w:rFonts w:hint="eastAsia" w:eastAsia="宋体"/>
          <w:color w:val="auto"/>
          <w:sz w:val="21"/>
          <w:szCs w:val="21"/>
        </w:rPr>
        <w:tab/>
      </w:r>
      <w:r>
        <w:rPr>
          <w:rStyle w:val="10"/>
          <w:rFonts w:eastAsia="宋体"/>
          <w:color w:val="auto"/>
          <w:sz w:val="21"/>
          <w:szCs w:val="21"/>
        </w:rPr>
        <w:t>D．</w:t>
      </w:r>
      <w:r>
        <w:rPr>
          <w:rStyle w:val="10"/>
          <w:rFonts w:hint="eastAsia" w:eastAsia="宋体"/>
          <w:color w:val="auto"/>
          <w:sz w:val="21"/>
          <w:szCs w:val="21"/>
        </w:rPr>
        <w:t>聚落</w:t>
      </w:r>
    </w:p>
    <w:p>
      <w:pPr>
        <w:pStyle w:val="22"/>
        <w:numPr>
          <w:ilvl w:val="0"/>
          <w:numId w:val="2"/>
        </w:numPr>
        <w:adjustRightInd w:val="0"/>
        <w:snapToGrid w:val="0"/>
        <w:spacing w:after="200" w:line="400" w:lineRule="exact"/>
        <w:jc w:val="left"/>
        <w:textAlignment w:val="baseline"/>
        <w:rPr>
          <w:rStyle w:val="10"/>
          <w:rFonts w:hAnsi="宋体" w:eastAsia="宋体"/>
          <w:color w:val="auto"/>
          <w:sz w:val="21"/>
          <w:szCs w:val="21"/>
        </w:rPr>
      </w:pPr>
      <w:r>
        <w:rPr>
          <w:rStyle w:val="10"/>
          <w:rFonts w:hint="eastAsia" w:hAnsi="宋体" w:eastAsia="宋体"/>
          <w:color w:val="auto"/>
          <w:sz w:val="21"/>
          <w:szCs w:val="21"/>
        </w:rPr>
        <w:t>黔春立交桥的多层设计，可能会</w:t>
      </w:r>
    </w:p>
    <w:p>
      <w:pPr>
        <w:pStyle w:val="22"/>
        <w:tabs>
          <w:tab w:val="left" w:pos="567"/>
          <w:tab w:val="left" w:pos="2552"/>
          <w:tab w:val="left" w:pos="4536"/>
          <w:tab w:val="left" w:pos="6521"/>
        </w:tabs>
        <w:adjustRightInd w:val="0"/>
        <w:snapToGrid w:val="0"/>
        <w:spacing w:after="200" w:line="400" w:lineRule="exact"/>
        <w:ind w:left="468"/>
        <w:jc w:val="left"/>
        <w:textAlignment w:val="baseline"/>
        <w:rPr>
          <w:rStyle w:val="10"/>
          <w:rFonts w:eastAsia="宋体"/>
          <w:color w:val="auto"/>
          <w:sz w:val="21"/>
          <w:szCs w:val="21"/>
        </w:rPr>
      </w:pPr>
      <w:r>
        <w:rPr>
          <w:rStyle w:val="10"/>
          <w:rFonts w:eastAsia="宋体"/>
          <w:color w:val="auto"/>
          <w:sz w:val="21"/>
          <w:szCs w:val="21"/>
        </w:rPr>
        <w:t>A．</w:t>
      </w:r>
      <w:r>
        <w:rPr>
          <w:rStyle w:val="10"/>
          <w:rFonts w:hint="eastAsia" w:eastAsia="宋体"/>
          <w:color w:val="auto"/>
          <w:sz w:val="21"/>
          <w:szCs w:val="21"/>
        </w:rPr>
        <w:t>方便紧急救援</w:t>
      </w:r>
      <w:r>
        <w:rPr>
          <w:rStyle w:val="10"/>
          <w:rFonts w:hint="eastAsia" w:eastAsia="宋体"/>
          <w:color w:val="auto"/>
          <w:sz w:val="21"/>
          <w:szCs w:val="21"/>
        </w:rPr>
        <w:tab/>
      </w:r>
      <w:r>
        <w:rPr>
          <w:rStyle w:val="10"/>
          <w:rFonts w:eastAsia="宋体"/>
          <w:color w:val="auto"/>
          <w:sz w:val="21"/>
          <w:szCs w:val="21"/>
        </w:rPr>
        <w:t>B．</w:t>
      </w:r>
      <w:r>
        <w:rPr>
          <w:rStyle w:val="10"/>
          <w:rFonts w:hint="eastAsia" w:eastAsia="宋体"/>
          <w:color w:val="auto"/>
          <w:sz w:val="21"/>
          <w:szCs w:val="21"/>
        </w:rPr>
        <w:t>引起交通拥堵</w:t>
      </w:r>
      <w:r>
        <w:rPr>
          <w:rStyle w:val="10"/>
          <w:rFonts w:hint="eastAsia" w:eastAsia="宋体"/>
          <w:color w:val="auto"/>
          <w:sz w:val="21"/>
          <w:szCs w:val="21"/>
        </w:rPr>
        <w:tab/>
      </w:r>
    </w:p>
    <w:p>
      <w:pPr>
        <w:pStyle w:val="22"/>
        <w:tabs>
          <w:tab w:val="left" w:pos="567"/>
          <w:tab w:val="left" w:pos="2552"/>
          <w:tab w:val="left" w:pos="4536"/>
          <w:tab w:val="left" w:pos="6521"/>
        </w:tabs>
        <w:adjustRightInd w:val="0"/>
        <w:snapToGrid w:val="0"/>
        <w:spacing w:after="200" w:line="400" w:lineRule="exact"/>
        <w:ind w:left="468"/>
        <w:jc w:val="left"/>
        <w:textAlignment w:val="baseline"/>
        <w:rPr>
          <w:rStyle w:val="10"/>
          <w:rFonts w:eastAsia="宋体"/>
          <w:color w:val="auto"/>
          <w:sz w:val="21"/>
          <w:szCs w:val="21"/>
        </w:rPr>
      </w:pPr>
      <w:r>
        <w:rPr>
          <w:rStyle w:val="10"/>
          <w:rFonts w:eastAsia="宋体"/>
          <w:color w:val="auto"/>
          <w:sz w:val="21"/>
          <w:szCs w:val="21"/>
        </w:rPr>
        <w:t>C．</w:t>
      </w:r>
      <w:r>
        <w:rPr>
          <w:rStyle w:val="10"/>
          <w:rFonts w:hint="eastAsia" w:eastAsia="宋体"/>
          <w:color w:val="auto"/>
          <w:sz w:val="21"/>
          <w:szCs w:val="21"/>
        </w:rPr>
        <w:t>增加土地占用</w:t>
      </w:r>
      <w:r>
        <w:rPr>
          <w:rStyle w:val="10"/>
          <w:rFonts w:hint="eastAsia" w:eastAsia="宋体"/>
          <w:color w:val="auto"/>
          <w:sz w:val="21"/>
          <w:szCs w:val="21"/>
        </w:rPr>
        <w:tab/>
      </w:r>
      <w:r>
        <w:rPr>
          <w:rStyle w:val="10"/>
          <w:rFonts w:eastAsia="宋体"/>
          <w:color w:val="auto"/>
          <w:sz w:val="21"/>
          <w:szCs w:val="21"/>
        </w:rPr>
        <w:t>D．</w:t>
      </w:r>
      <w:r>
        <w:rPr>
          <w:rStyle w:val="10"/>
          <w:rFonts w:hint="eastAsia" w:eastAsia="宋体"/>
          <w:color w:val="auto"/>
          <w:sz w:val="21"/>
          <w:szCs w:val="21"/>
        </w:rPr>
        <w:t>干扰导航精度</w:t>
      </w:r>
    </w:p>
    <w:p>
      <w:pPr>
        <w:pStyle w:val="21"/>
        <w:adjustRightInd w:val="0"/>
        <w:snapToGrid w:val="0"/>
        <w:spacing w:after="200" w:line="400" w:lineRule="exact"/>
        <w:ind w:firstLine="420"/>
        <w:rPr>
          <w:rStyle w:val="10"/>
          <w:rFonts w:eastAsia="楷体" w:cs="Times New Roman"/>
          <w:bCs/>
          <w:color w:val="auto"/>
          <w:kern w:val="24"/>
          <w:szCs w:val="21"/>
        </w:rPr>
      </w:pPr>
      <w:r>
        <w:rPr>
          <w:rStyle w:val="10"/>
          <w:rFonts w:eastAsia="楷体" w:cs="Times New Roman"/>
          <w:bCs/>
          <w:color w:val="auto"/>
          <w:kern w:val="24"/>
          <w:szCs w:val="21"/>
        </w:rPr>
        <w:t>偃松是一种珍贵的常绿针叶树种，在我国大</w:t>
      </w:r>
      <w:r>
        <w:rPr>
          <w:rStyle w:val="10"/>
          <w:rFonts w:ascii="Times New Roman" w:hAnsi="Times New Roman" w:eastAsia="楷体" w:cs="Times New Roman"/>
          <w:bCs/>
          <w:color w:val="auto"/>
          <w:kern w:val="24"/>
          <w:szCs w:val="21"/>
        </w:rPr>
        <w:t>兴安岭海拔800米以上的高海拔地区集中分布，在海拔1200米以上，其树干变直立为伏卧地面匍匐生长。下图示意大兴安岭偃松分布状况，下表为大兴安岭偃松生长状况。据此完成9—11题</w:t>
      </w:r>
      <w:r>
        <w:rPr>
          <w:rStyle w:val="10"/>
          <w:rFonts w:eastAsia="楷体" w:cs="Times New Roman"/>
          <w:bCs/>
          <w:color w:val="auto"/>
          <w:kern w:val="24"/>
          <w:szCs w:val="21"/>
        </w:rPr>
        <w:t>。</w:t>
      </w:r>
    </w:p>
    <w:p>
      <w:pPr>
        <w:pStyle w:val="21"/>
        <w:spacing w:before="80" w:after="200" w:line="0" w:lineRule="atLeast"/>
        <w:jc w:val="center"/>
        <w:textAlignment w:val="center"/>
        <w:rPr>
          <w:rStyle w:val="10"/>
          <w:rFonts w:ascii="Times New Roman" w:hAnsi="Times New Roman" w:eastAsia="楷体" w:cs="Times New Roman"/>
          <w:color w:val="auto"/>
          <w:szCs w:val="21"/>
        </w:rPr>
      </w:pPr>
      <w:r>
        <w:rPr>
          <w:rStyle w:val="10"/>
          <w:rFonts w:eastAsia="楷体" w:cs="Times New Roman"/>
          <w:bCs/>
          <w:color w:val="auto"/>
          <w:kern w:val="24"/>
          <w:szCs w:val="21"/>
        </w:rPr>
        <w:drawing>
          <wp:inline distT="0" distB="0" distL="114300" distR="114300">
            <wp:extent cx="4254500" cy="1181100"/>
            <wp:effectExtent l="0" t="0" r="12700" b="12700"/>
            <wp:docPr id="6" name="图片 6" descr="截屏2021-07-19 下午10.0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截屏2021-07-19 下午10.07.59"/>
                    <pic:cNvPicPr>
                      <a:picLocks noChangeAspect="1"/>
                    </pic:cNvPicPr>
                  </pic:nvPicPr>
                  <pic:blipFill>
                    <a:blip r:embed="rId9"/>
                    <a:stretch>
                      <a:fillRect/>
                    </a:stretch>
                  </pic:blipFill>
                  <pic:spPr>
                    <a:xfrm>
                      <a:off x="0" y="0"/>
                      <a:ext cx="4254500" cy="1181100"/>
                    </a:xfrm>
                    <a:prstGeom prst="rect">
                      <a:avLst/>
                    </a:prstGeom>
                  </pic:spPr>
                </pic:pic>
              </a:graphicData>
            </a:graphic>
          </wp:inline>
        </w:drawing>
      </w:r>
    </w:p>
    <w:p>
      <w:pPr>
        <w:pStyle w:val="22"/>
        <w:numPr>
          <w:ilvl w:val="0"/>
          <w:numId w:val="2"/>
        </w:numPr>
        <w:adjustRightInd w:val="0"/>
        <w:snapToGrid w:val="0"/>
        <w:spacing w:after="200" w:line="380" w:lineRule="atLeast"/>
        <w:jc w:val="left"/>
        <w:textAlignment w:val="baseline"/>
        <w:rPr>
          <w:rStyle w:val="10"/>
          <w:rFonts w:ascii="宋体" w:hAnsi="宋体" w:eastAsia="宋体"/>
          <w:color w:val="auto"/>
          <w:sz w:val="21"/>
          <w:szCs w:val="21"/>
        </w:rPr>
      </w:pPr>
      <w:r>
        <w:rPr>
          <w:rStyle w:val="10"/>
          <w:rFonts w:eastAsia="宋体"/>
          <w:color w:val="auto"/>
          <w:sz w:val="21"/>
          <w:szCs w:val="21"/>
        </w:rPr>
        <w:t>与1200—1600米范围相比，影响800—1200米范围</w:t>
      </w:r>
      <w:r>
        <w:rPr>
          <w:rStyle w:val="10"/>
          <w:rFonts w:ascii="宋体" w:hAnsi="宋体" w:eastAsia="宋体"/>
          <w:color w:val="auto"/>
          <w:sz w:val="21"/>
          <w:szCs w:val="21"/>
        </w:rPr>
        <w:t>内偃松生长状况的限制因素是</w:t>
      </w:r>
    </w:p>
    <w:p>
      <w:pPr>
        <w:pStyle w:val="22"/>
        <w:tabs>
          <w:tab w:val="left" w:pos="567"/>
          <w:tab w:val="left" w:pos="2552"/>
          <w:tab w:val="left" w:pos="4536"/>
          <w:tab w:val="left" w:pos="6521"/>
        </w:tabs>
        <w:adjustRightInd w:val="0"/>
        <w:snapToGrid w:val="0"/>
        <w:spacing w:after="200" w:line="380" w:lineRule="atLeast"/>
        <w:ind w:left="468"/>
        <w:jc w:val="left"/>
        <w:textAlignment w:val="baseline"/>
        <w:rPr>
          <w:rStyle w:val="10"/>
          <w:rFonts w:eastAsia="宋体"/>
          <w:color w:val="auto"/>
          <w:sz w:val="21"/>
          <w:szCs w:val="21"/>
        </w:rPr>
      </w:pPr>
      <w:r>
        <w:rPr>
          <w:rStyle w:val="10"/>
          <w:rFonts w:eastAsia="宋体"/>
          <w:color w:val="auto"/>
          <w:sz w:val="21"/>
          <w:szCs w:val="21"/>
        </w:rPr>
        <w:t xml:space="preserve">A．坡向 </w:t>
      </w:r>
      <w:r>
        <w:rPr>
          <w:rStyle w:val="10"/>
          <w:rFonts w:eastAsia="宋体"/>
          <w:color w:val="auto"/>
          <w:sz w:val="21"/>
          <w:szCs w:val="21"/>
        </w:rPr>
        <w:tab/>
      </w:r>
      <w:r>
        <w:rPr>
          <w:rStyle w:val="10"/>
          <w:rFonts w:eastAsia="宋体"/>
          <w:color w:val="auto"/>
          <w:sz w:val="21"/>
          <w:szCs w:val="21"/>
        </w:rPr>
        <w:t xml:space="preserve">B．气温 </w:t>
      </w:r>
      <w:r>
        <w:rPr>
          <w:rStyle w:val="10"/>
          <w:rFonts w:eastAsia="宋体"/>
          <w:color w:val="auto"/>
          <w:sz w:val="21"/>
          <w:szCs w:val="21"/>
        </w:rPr>
        <w:tab/>
      </w:r>
      <w:r>
        <w:rPr>
          <w:rStyle w:val="10"/>
          <w:rFonts w:eastAsia="宋体"/>
          <w:color w:val="auto"/>
          <w:sz w:val="21"/>
          <w:szCs w:val="21"/>
        </w:rPr>
        <w:t xml:space="preserve">C．光照  </w:t>
      </w:r>
      <w:r>
        <w:rPr>
          <w:rStyle w:val="10"/>
          <w:rFonts w:eastAsia="宋体"/>
          <w:color w:val="auto"/>
          <w:sz w:val="21"/>
          <w:szCs w:val="21"/>
        </w:rPr>
        <w:tab/>
      </w:r>
      <w:r>
        <w:rPr>
          <w:rStyle w:val="10"/>
          <w:rFonts w:eastAsia="宋体"/>
          <w:color w:val="auto"/>
          <w:sz w:val="21"/>
          <w:szCs w:val="21"/>
        </w:rPr>
        <w:t>D．风力</w:t>
      </w:r>
    </w:p>
    <w:p>
      <w:pPr>
        <w:pStyle w:val="22"/>
        <w:numPr>
          <w:ilvl w:val="0"/>
          <w:numId w:val="2"/>
        </w:numPr>
        <w:adjustRightInd w:val="0"/>
        <w:snapToGrid w:val="0"/>
        <w:spacing w:after="200" w:line="380" w:lineRule="atLeast"/>
        <w:ind w:hanging="468"/>
        <w:jc w:val="left"/>
        <w:textAlignment w:val="baseline"/>
        <w:rPr>
          <w:rStyle w:val="10"/>
          <w:rFonts w:ascii="宋体" w:hAnsi="宋体" w:eastAsia="宋体"/>
          <w:color w:val="auto"/>
          <w:sz w:val="21"/>
          <w:szCs w:val="21"/>
        </w:rPr>
      </w:pPr>
      <w:r>
        <w:rPr>
          <w:rStyle w:val="10"/>
          <w:rFonts w:ascii="宋体" w:hAnsi="宋体" w:eastAsia="宋体"/>
          <w:color w:val="auto"/>
          <w:sz w:val="21"/>
          <w:szCs w:val="21"/>
        </w:rPr>
        <w:t>在</w:t>
      </w:r>
      <w:r>
        <w:rPr>
          <w:rStyle w:val="10"/>
          <w:rFonts w:eastAsia="宋体"/>
          <w:color w:val="auto"/>
          <w:sz w:val="21"/>
          <w:szCs w:val="21"/>
        </w:rPr>
        <w:t>1200</w:t>
      </w:r>
      <w:r>
        <w:rPr>
          <w:rStyle w:val="10"/>
          <w:rFonts w:ascii="宋体" w:hAnsi="宋体" w:eastAsia="宋体"/>
          <w:color w:val="auto"/>
          <w:sz w:val="21"/>
          <w:szCs w:val="21"/>
        </w:rPr>
        <w:t>米以上地区，树干匍匐生长有利于偃松</w:t>
      </w:r>
    </w:p>
    <w:p>
      <w:pPr>
        <w:pStyle w:val="22"/>
        <w:tabs>
          <w:tab w:val="left" w:pos="567"/>
          <w:tab w:val="left" w:pos="2552"/>
          <w:tab w:val="left" w:pos="4536"/>
          <w:tab w:val="left" w:pos="6521"/>
        </w:tabs>
        <w:adjustRightInd w:val="0"/>
        <w:snapToGrid w:val="0"/>
        <w:spacing w:after="200" w:line="380" w:lineRule="atLeast"/>
        <w:ind w:left="468"/>
        <w:jc w:val="left"/>
        <w:textAlignment w:val="baseline"/>
        <w:rPr>
          <w:rStyle w:val="10"/>
          <w:rFonts w:eastAsia="宋体"/>
          <w:color w:val="auto"/>
          <w:sz w:val="21"/>
          <w:szCs w:val="21"/>
        </w:rPr>
      </w:pPr>
      <w:r>
        <w:rPr>
          <w:rStyle w:val="10"/>
          <w:rFonts w:eastAsia="宋体"/>
          <w:color w:val="auto"/>
          <w:sz w:val="21"/>
          <w:szCs w:val="21"/>
        </w:rPr>
        <w:t xml:space="preserve">A．抵御严寒 </w:t>
      </w:r>
      <w:r>
        <w:rPr>
          <w:rStyle w:val="10"/>
          <w:rFonts w:eastAsia="宋体"/>
          <w:color w:val="auto"/>
          <w:sz w:val="21"/>
          <w:szCs w:val="21"/>
        </w:rPr>
        <w:tab/>
      </w:r>
      <w:r>
        <w:rPr>
          <w:rStyle w:val="10"/>
          <w:rFonts w:eastAsia="宋体"/>
          <w:color w:val="auto"/>
          <w:sz w:val="21"/>
          <w:szCs w:val="21"/>
        </w:rPr>
        <w:t xml:space="preserve">B．固定土壤      </w:t>
      </w:r>
      <w:r>
        <w:rPr>
          <w:rStyle w:val="10"/>
          <w:rFonts w:eastAsia="宋体"/>
          <w:color w:val="auto"/>
          <w:sz w:val="21"/>
          <w:szCs w:val="21"/>
        </w:rPr>
        <w:tab/>
      </w:r>
      <w:r>
        <w:rPr>
          <w:rStyle w:val="10"/>
          <w:rFonts w:eastAsia="宋体"/>
          <w:color w:val="auto"/>
          <w:sz w:val="21"/>
          <w:szCs w:val="21"/>
        </w:rPr>
        <w:t xml:space="preserve">C．抵御大风       </w:t>
      </w:r>
      <w:r>
        <w:rPr>
          <w:rStyle w:val="10"/>
          <w:rFonts w:eastAsia="宋体"/>
          <w:color w:val="auto"/>
          <w:sz w:val="21"/>
          <w:szCs w:val="21"/>
        </w:rPr>
        <w:tab/>
      </w:r>
      <w:r>
        <w:rPr>
          <w:rStyle w:val="10"/>
          <w:rFonts w:eastAsia="宋体"/>
          <w:color w:val="auto"/>
          <w:sz w:val="21"/>
          <w:szCs w:val="21"/>
        </w:rPr>
        <w:t>D．增加下渗</w:t>
      </w:r>
    </w:p>
    <w:p>
      <w:pPr>
        <w:pStyle w:val="22"/>
        <w:numPr>
          <w:ilvl w:val="0"/>
          <w:numId w:val="2"/>
        </w:numPr>
        <w:adjustRightInd w:val="0"/>
        <w:snapToGrid w:val="0"/>
        <w:spacing w:after="200" w:line="380" w:lineRule="atLeast"/>
        <w:ind w:hanging="468"/>
        <w:jc w:val="left"/>
        <w:textAlignment w:val="baseline"/>
        <w:rPr>
          <w:rStyle w:val="10"/>
          <w:rFonts w:ascii="宋体" w:hAnsi="宋体" w:eastAsia="宋体"/>
          <w:color w:val="auto"/>
          <w:sz w:val="21"/>
          <w:szCs w:val="21"/>
        </w:rPr>
      </w:pPr>
      <w:r>
        <w:rPr>
          <w:rStyle w:val="10"/>
          <w:rFonts w:ascii="宋体" w:hAnsi="宋体" w:eastAsia="宋体"/>
          <w:color w:val="auto"/>
          <w:sz w:val="21"/>
          <w:szCs w:val="21"/>
        </w:rPr>
        <w:t>随着该地区气候变暖，</w:t>
      </w:r>
      <w:r>
        <w:rPr>
          <w:rStyle w:val="10"/>
          <w:rFonts w:eastAsia="宋体"/>
          <w:color w:val="auto"/>
          <w:sz w:val="21"/>
          <w:szCs w:val="21"/>
        </w:rPr>
        <w:t>1600</w:t>
      </w:r>
      <w:r>
        <w:rPr>
          <w:rStyle w:val="10"/>
          <w:rFonts w:ascii="宋体" w:hAnsi="宋体" w:eastAsia="宋体"/>
          <w:color w:val="auto"/>
          <w:sz w:val="21"/>
          <w:szCs w:val="21"/>
        </w:rPr>
        <w:t>米以上地区偃松林的分布高度和树干长度将</w:t>
      </w:r>
    </w:p>
    <w:p>
      <w:pPr>
        <w:pStyle w:val="22"/>
        <w:tabs>
          <w:tab w:val="left" w:pos="567"/>
          <w:tab w:val="left" w:pos="2552"/>
          <w:tab w:val="left" w:pos="4536"/>
          <w:tab w:val="left" w:pos="6521"/>
        </w:tabs>
        <w:adjustRightInd w:val="0"/>
        <w:snapToGrid w:val="0"/>
        <w:spacing w:after="200" w:line="380" w:lineRule="atLeast"/>
        <w:ind w:left="468"/>
        <w:jc w:val="left"/>
        <w:textAlignment w:val="baseline"/>
        <w:rPr>
          <w:rStyle w:val="10"/>
          <w:rFonts w:eastAsia="宋体"/>
          <w:color w:val="auto"/>
          <w:sz w:val="21"/>
          <w:szCs w:val="21"/>
        </w:rPr>
      </w:pPr>
      <w:r>
        <w:rPr>
          <w:rStyle w:val="10"/>
          <w:rFonts w:eastAsia="宋体"/>
          <w:color w:val="auto"/>
          <w:sz w:val="21"/>
          <w:szCs w:val="21"/>
        </w:rPr>
        <w:t>A．升高  变长</w:t>
      </w:r>
      <w:r>
        <w:rPr>
          <w:rStyle w:val="10"/>
          <w:rFonts w:eastAsia="宋体"/>
          <w:color w:val="auto"/>
          <w:sz w:val="21"/>
          <w:szCs w:val="21"/>
        </w:rPr>
        <w:tab/>
      </w:r>
      <w:r>
        <w:rPr>
          <w:rStyle w:val="10"/>
          <w:rFonts w:eastAsia="宋体"/>
          <w:color w:val="auto"/>
          <w:sz w:val="21"/>
          <w:szCs w:val="21"/>
        </w:rPr>
        <w:t xml:space="preserve">B．降低 变短     </w:t>
      </w:r>
      <w:r>
        <w:rPr>
          <w:rStyle w:val="10"/>
          <w:rFonts w:eastAsia="宋体"/>
          <w:color w:val="auto"/>
          <w:sz w:val="21"/>
          <w:szCs w:val="21"/>
        </w:rPr>
        <w:tab/>
      </w:r>
      <w:r>
        <w:rPr>
          <w:rStyle w:val="10"/>
          <w:rFonts w:eastAsia="宋体"/>
          <w:color w:val="auto"/>
          <w:sz w:val="21"/>
          <w:szCs w:val="21"/>
        </w:rPr>
        <w:t xml:space="preserve">C．升高 变短      </w:t>
      </w:r>
      <w:r>
        <w:rPr>
          <w:rStyle w:val="10"/>
          <w:rFonts w:eastAsia="宋体"/>
          <w:color w:val="auto"/>
          <w:sz w:val="21"/>
          <w:szCs w:val="21"/>
        </w:rPr>
        <w:tab/>
      </w:r>
      <w:r>
        <w:rPr>
          <w:rStyle w:val="10"/>
          <w:rFonts w:eastAsia="宋体"/>
          <w:color w:val="auto"/>
          <w:sz w:val="21"/>
          <w:szCs w:val="21"/>
        </w:rPr>
        <w:t>D．降低 变长</w:t>
      </w:r>
    </w:p>
    <w:p>
      <w:pPr>
        <w:pStyle w:val="21"/>
        <w:adjustRightInd w:val="0"/>
        <w:snapToGrid w:val="0"/>
        <w:spacing w:after="200" w:line="380" w:lineRule="atLeast"/>
        <w:ind w:firstLine="420"/>
        <w:rPr>
          <w:rStyle w:val="10"/>
          <w:rFonts w:eastAsia="楷体" w:cs="Times New Roman"/>
          <w:bCs/>
          <w:color w:val="auto"/>
          <w:kern w:val="24"/>
          <w:szCs w:val="21"/>
        </w:rPr>
      </w:pPr>
      <w:r>
        <w:rPr>
          <w:rStyle w:val="10"/>
          <w:rFonts w:eastAsia="宋体"/>
          <w:color w:val="auto"/>
          <w:szCs w:val="21"/>
        </w:rPr>
        <w:drawing>
          <wp:anchor distT="0" distB="0" distL="114300" distR="114300" simplePos="0" relativeHeight="251660288" behindDoc="1" locked="0" layoutInCell="1" allowOverlap="1">
            <wp:simplePos x="0" y="0"/>
            <wp:positionH relativeFrom="margin">
              <wp:posOffset>1145540</wp:posOffset>
            </wp:positionH>
            <wp:positionV relativeFrom="page">
              <wp:posOffset>2615565</wp:posOffset>
            </wp:positionV>
            <wp:extent cx="2939415" cy="1885950"/>
            <wp:effectExtent l="0" t="0" r="0" b="0"/>
            <wp:wrapTopAndBottom/>
            <wp:docPr id="47" name="图片 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figure"/>
                    <pic:cNvPicPr>
                      <a:picLocks noChangeAspect="1" noChangeArrowheads="1"/>
                    </pic:cNvPicPr>
                  </pic:nvPicPr>
                  <pic:blipFill>
                    <a:blip r:embed="rId10">
                      <a:extLst>
                        <a:ext uri="{28A0092B-C50C-407E-A947-70E740481C1C}">
                          <a14:useLocalDpi xmlns:a14="http://schemas.microsoft.com/office/drawing/2010/main" val="0"/>
                        </a:ext>
                      </a:extLst>
                    </a:blip>
                    <a:srcRect b="9184"/>
                    <a:stretch>
                      <a:fillRect/>
                    </a:stretch>
                  </pic:blipFill>
                  <pic:spPr>
                    <a:xfrm>
                      <a:off x="0" y="0"/>
                      <a:ext cx="2939415" cy="1885950"/>
                    </a:xfrm>
                    <a:prstGeom prst="rect">
                      <a:avLst/>
                    </a:prstGeom>
                    <a:noFill/>
                    <a:ln>
                      <a:noFill/>
                    </a:ln>
                  </pic:spPr>
                </pic:pic>
              </a:graphicData>
            </a:graphic>
          </wp:anchor>
        </w:drawing>
      </w:r>
      <w:r>
        <w:rPr>
          <w:rStyle w:val="10"/>
          <w:rFonts w:hint="eastAsia" w:eastAsia="楷体" w:cs="Times New Roman"/>
          <w:bCs/>
          <w:color w:val="auto"/>
          <w:kern w:val="24"/>
          <w:szCs w:val="21"/>
        </w:rPr>
        <w:t>明太鱼是一种冷水性深水鱼，分布于日本海、鄂霍次克海、白令海等海域。但近年来日本海的明太鱼资源急剧下降，鄂霍次克海和白令海成为明太鱼主要的生活地。吉林延边则</w:t>
      </w:r>
      <w:r>
        <w:rPr>
          <w:rStyle w:val="10"/>
          <w:rFonts w:eastAsia="楷体" w:cs="Times New Roman"/>
          <w:bCs/>
          <w:color w:val="auto"/>
          <w:kern w:val="24"/>
          <w:szCs w:val="21"/>
        </w:rPr>
        <w:t>是东北亚地区最大的明太鱼</w:t>
      </w:r>
      <w:r>
        <w:rPr>
          <w:rStyle w:val="10"/>
          <w:rFonts w:hint="eastAsia" w:eastAsia="楷体" w:cs="Times New Roman"/>
          <w:bCs/>
          <w:color w:val="auto"/>
          <w:kern w:val="24"/>
          <w:szCs w:val="21"/>
        </w:rPr>
        <w:t>鱼干</w:t>
      </w:r>
      <w:r>
        <w:rPr>
          <w:rStyle w:val="10"/>
          <w:rFonts w:eastAsia="楷体" w:cs="Times New Roman"/>
          <w:bCs/>
          <w:color w:val="auto"/>
          <w:kern w:val="24"/>
          <w:szCs w:val="21"/>
        </w:rPr>
        <w:t>加工地</w:t>
      </w:r>
      <w:r>
        <w:rPr>
          <w:rStyle w:val="10"/>
          <w:rFonts w:hint="eastAsia" w:eastAsia="楷体" w:cs="Times New Roman"/>
          <w:bCs/>
          <w:color w:val="auto"/>
          <w:kern w:val="24"/>
          <w:szCs w:val="21"/>
        </w:rPr>
        <w:t>；制作明太鱼</w:t>
      </w:r>
      <w:r>
        <w:rPr>
          <w:rStyle w:val="10"/>
          <w:rFonts w:eastAsia="楷体" w:cs="Times New Roman"/>
          <w:bCs/>
          <w:color w:val="auto"/>
          <w:kern w:val="24"/>
          <w:szCs w:val="21"/>
        </w:rPr>
        <w:t>鱼干需要反复</w:t>
      </w:r>
      <w:r>
        <w:rPr>
          <w:rStyle w:val="10"/>
          <w:rFonts w:hint="eastAsia" w:eastAsia="楷体" w:cs="Times New Roman"/>
          <w:bCs/>
          <w:color w:val="auto"/>
          <w:kern w:val="24"/>
          <w:szCs w:val="21"/>
        </w:rPr>
        <w:t>“</w:t>
      </w:r>
      <w:r>
        <w:rPr>
          <w:rStyle w:val="10"/>
          <w:rFonts w:eastAsia="楷体" w:cs="Times New Roman"/>
          <w:bCs/>
          <w:color w:val="auto"/>
          <w:kern w:val="24"/>
          <w:szCs w:val="21"/>
        </w:rPr>
        <w:t>冻结—融化</w:t>
      </w:r>
      <w:r>
        <w:rPr>
          <w:rStyle w:val="10"/>
          <w:rFonts w:hint="eastAsia" w:eastAsia="楷体" w:cs="Times New Roman"/>
          <w:bCs/>
          <w:color w:val="auto"/>
          <w:kern w:val="24"/>
          <w:szCs w:val="21"/>
        </w:rPr>
        <w:t>”</w:t>
      </w:r>
      <w:r>
        <w:rPr>
          <w:rStyle w:val="10"/>
          <w:rFonts w:eastAsia="楷体" w:cs="Times New Roman"/>
          <w:bCs/>
          <w:color w:val="auto"/>
          <w:kern w:val="24"/>
          <w:szCs w:val="21"/>
        </w:rPr>
        <w:t>，</w:t>
      </w:r>
      <w:r>
        <w:rPr>
          <w:rStyle w:val="10"/>
          <w:rFonts w:hint="eastAsia" w:eastAsia="楷体" w:cs="Times New Roman"/>
          <w:bCs/>
          <w:color w:val="auto"/>
          <w:kern w:val="24"/>
          <w:szCs w:val="21"/>
        </w:rPr>
        <w:t>“</w:t>
      </w:r>
      <w:r>
        <w:rPr>
          <w:rStyle w:val="10"/>
          <w:rFonts w:eastAsia="楷体" w:cs="Times New Roman"/>
          <w:bCs/>
          <w:color w:val="auto"/>
          <w:kern w:val="24"/>
          <w:szCs w:val="21"/>
        </w:rPr>
        <w:t>冻融</w:t>
      </w:r>
      <w:r>
        <w:rPr>
          <w:rStyle w:val="10"/>
          <w:rFonts w:hint="eastAsia" w:eastAsia="楷体" w:cs="Times New Roman"/>
          <w:bCs/>
          <w:color w:val="auto"/>
          <w:kern w:val="24"/>
          <w:szCs w:val="21"/>
        </w:rPr>
        <w:t>”</w:t>
      </w:r>
      <w:r>
        <w:rPr>
          <w:rStyle w:val="10"/>
          <w:rFonts w:eastAsia="楷体" w:cs="Times New Roman"/>
          <w:bCs/>
          <w:color w:val="auto"/>
          <w:kern w:val="24"/>
          <w:szCs w:val="21"/>
        </w:rPr>
        <w:t>次数越多，肉质越有弹性，品质越优。</w:t>
      </w:r>
      <w:r>
        <w:rPr>
          <w:rStyle w:val="10"/>
          <w:rFonts w:ascii="宋体" w:hAnsi="宋体" w:eastAsia="宋体" w:cs="Times New Roman"/>
          <w:color w:val="auto"/>
          <w:szCs w:val="21"/>
        </w:rPr>
        <w:t xml:space="preserve"> </w:t>
      </w:r>
      <w:r>
        <w:rPr>
          <w:rStyle w:val="10"/>
          <w:rFonts w:ascii="Times New Roman" w:hAnsi="Times New Roman" w:eastAsia="楷体" w:cs="Times New Roman"/>
          <w:color w:val="auto"/>
          <w:szCs w:val="21"/>
        </w:rPr>
        <w:t>根据以上材料，回答下列12</w:t>
      </w:r>
      <w:r>
        <w:rPr>
          <w:rStyle w:val="10"/>
          <w:rFonts w:hint="eastAsia" w:ascii="Times New Roman" w:hAnsi="Times New Roman" w:eastAsia="楷体" w:cs="Times New Roman"/>
          <w:color w:val="auto"/>
          <w:szCs w:val="21"/>
        </w:rPr>
        <w:t>—</w:t>
      </w:r>
      <w:r>
        <w:rPr>
          <w:rStyle w:val="10"/>
          <w:rFonts w:ascii="Times New Roman" w:hAnsi="Times New Roman" w:eastAsia="楷体" w:cs="Times New Roman"/>
          <w:color w:val="auto"/>
          <w:szCs w:val="21"/>
        </w:rPr>
        <w:t>13题。</w:t>
      </w:r>
    </w:p>
    <w:p>
      <w:pPr>
        <w:pStyle w:val="22"/>
        <w:numPr>
          <w:ilvl w:val="0"/>
          <w:numId w:val="2"/>
        </w:numPr>
        <w:adjustRightInd w:val="0"/>
        <w:snapToGrid w:val="0"/>
        <w:spacing w:after="200" w:line="380" w:lineRule="atLeast"/>
        <w:ind w:hanging="468"/>
        <w:jc w:val="left"/>
        <w:textAlignment w:val="baseline"/>
        <w:rPr>
          <w:rStyle w:val="10"/>
          <w:rFonts w:ascii="宋体" w:hAnsi="宋体" w:eastAsia="宋体"/>
          <w:color w:val="auto"/>
          <w:sz w:val="21"/>
          <w:szCs w:val="21"/>
        </w:rPr>
      </w:pPr>
      <w:r>
        <w:rPr>
          <w:rStyle w:val="10"/>
          <w:rFonts w:hint="eastAsia" w:ascii="宋体" w:hAnsi="宋体" w:eastAsia="宋体"/>
          <w:color w:val="auto"/>
          <w:sz w:val="21"/>
          <w:szCs w:val="21"/>
        </w:rPr>
        <w:t>延边作为明太鱼鱼干主要加工地相较于普罗维杰尼斯的主要优势是</w:t>
      </w:r>
    </w:p>
    <w:p>
      <w:pPr>
        <w:pStyle w:val="22"/>
        <w:tabs>
          <w:tab w:val="left" w:pos="567"/>
          <w:tab w:val="left" w:pos="2552"/>
          <w:tab w:val="left" w:pos="4536"/>
          <w:tab w:val="left" w:pos="6521"/>
        </w:tabs>
        <w:adjustRightInd w:val="0"/>
        <w:snapToGrid w:val="0"/>
        <w:spacing w:after="200" w:line="380" w:lineRule="atLeast"/>
        <w:ind w:left="468"/>
        <w:jc w:val="left"/>
        <w:textAlignment w:val="baseline"/>
        <w:rPr>
          <w:rStyle w:val="10"/>
          <w:rFonts w:eastAsia="宋体"/>
          <w:color w:val="auto"/>
          <w:sz w:val="21"/>
          <w:szCs w:val="21"/>
        </w:rPr>
      </w:pPr>
      <w:r>
        <w:rPr>
          <w:rStyle w:val="10"/>
          <w:rFonts w:eastAsia="宋体"/>
          <w:color w:val="auto"/>
          <w:sz w:val="21"/>
          <w:szCs w:val="21"/>
        </w:rPr>
        <w:t>A</w:t>
      </w:r>
      <w:r>
        <w:rPr>
          <w:rStyle w:val="10"/>
          <w:rFonts w:hint="eastAsia" w:eastAsia="宋体"/>
          <w:color w:val="auto"/>
          <w:sz w:val="21"/>
          <w:szCs w:val="21"/>
        </w:rPr>
        <w:t xml:space="preserve">．靠近明太鱼产地 </w:t>
      </w:r>
      <w:r>
        <w:rPr>
          <w:rStyle w:val="10"/>
          <w:rFonts w:eastAsia="宋体"/>
          <w:color w:val="auto"/>
          <w:sz w:val="21"/>
          <w:szCs w:val="21"/>
        </w:rPr>
        <w:tab/>
      </w:r>
      <w:r>
        <w:rPr>
          <w:rStyle w:val="10"/>
          <w:rFonts w:eastAsia="宋体"/>
          <w:color w:val="auto"/>
          <w:sz w:val="21"/>
          <w:szCs w:val="21"/>
        </w:rPr>
        <w:t>B</w:t>
      </w:r>
      <w:r>
        <w:rPr>
          <w:rStyle w:val="10"/>
          <w:rFonts w:hint="eastAsia" w:eastAsia="宋体"/>
          <w:color w:val="auto"/>
          <w:sz w:val="21"/>
          <w:szCs w:val="21"/>
        </w:rPr>
        <w:t xml:space="preserve">．冬季气温更高 </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C</w:t>
      </w:r>
      <w:r>
        <w:rPr>
          <w:rStyle w:val="10"/>
          <w:rFonts w:hint="eastAsia" w:eastAsia="宋体"/>
          <w:color w:val="auto"/>
          <w:sz w:val="21"/>
          <w:szCs w:val="21"/>
        </w:rPr>
        <w:t xml:space="preserve">．土地租金廉价 </w:t>
      </w:r>
      <w:r>
        <w:rPr>
          <w:rStyle w:val="10"/>
          <w:rFonts w:eastAsia="宋体"/>
          <w:color w:val="auto"/>
          <w:sz w:val="21"/>
          <w:szCs w:val="21"/>
        </w:rPr>
        <w:tab/>
      </w:r>
      <w:r>
        <w:rPr>
          <w:rStyle w:val="10"/>
          <w:rFonts w:eastAsia="宋体"/>
          <w:color w:val="auto"/>
          <w:sz w:val="21"/>
          <w:szCs w:val="21"/>
        </w:rPr>
        <w:t>D</w:t>
      </w:r>
      <w:r>
        <w:rPr>
          <w:rStyle w:val="10"/>
          <w:rFonts w:hint="eastAsia" w:eastAsia="宋体"/>
          <w:color w:val="auto"/>
          <w:sz w:val="21"/>
          <w:szCs w:val="21"/>
        </w:rPr>
        <w:t>．冬季湿度更低</w:t>
      </w:r>
    </w:p>
    <w:p>
      <w:pPr>
        <w:pStyle w:val="22"/>
        <w:numPr>
          <w:ilvl w:val="0"/>
          <w:numId w:val="2"/>
        </w:numPr>
        <w:adjustRightInd w:val="0"/>
        <w:snapToGrid w:val="0"/>
        <w:spacing w:after="200" w:line="380" w:lineRule="atLeast"/>
        <w:ind w:hanging="468"/>
        <w:jc w:val="left"/>
        <w:textAlignment w:val="baseline"/>
        <w:rPr>
          <w:rStyle w:val="10"/>
          <w:rFonts w:ascii="宋体" w:hAnsi="宋体" w:eastAsia="宋体"/>
          <w:color w:val="auto"/>
          <w:sz w:val="21"/>
          <w:szCs w:val="21"/>
        </w:rPr>
      </w:pPr>
      <w:r>
        <w:rPr>
          <w:rStyle w:val="10"/>
          <w:rFonts w:hint="eastAsia" w:ascii="宋体" w:hAnsi="宋体" w:eastAsia="宋体"/>
          <w:color w:val="auto"/>
          <w:sz w:val="21"/>
          <w:szCs w:val="21"/>
        </w:rPr>
        <w:t>延边地区制作优质明太鱼鱼干的时间最可能是</w:t>
      </w:r>
    </w:p>
    <w:p>
      <w:pPr>
        <w:pStyle w:val="22"/>
        <w:tabs>
          <w:tab w:val="left" w:pos="567"/>
          <w:tab w:val="left" w:pos="2552"/>
          <w:tab w:val="left" w:pos="4536"/>
          <w:tab w:val="left" w:pos="6521"/>
        </w:tabs>
        <w:adjustRightInd w:val="0"/>
        <w:snapToGrid w:val="0"/>
        <w:spacing w:after="200" w:line="380" w:lineRule="atLeast"/>
        <w:ind w:left="468"/>
        <w:jc w:val="left"/>
        <w:textAlignment w:val="baseline"/>
        <w:rPr>
          <w:rStyle w:val="10"/>
          <w:rFonts w:eastAsia="宋体"/>
          <w:color w:val="auto"/>
          <w:sz w:val="21"/>
          <w:szCs w:val="21"/>
        </w:rPr>
      </w:pPr>
      <w:r>
        <w:rPr>
          <w:rStyle w:val="10"/>
          <w:rFonts w:eastAsia="宋体"/>
          <w:color w:val="auto"/>
          <w:sz w:val="21"/>
          <w:szCs w:val="21"/>
        </w:rPr>
        <w:t>A</w:t>
      </w:r>
      <w:r>
        <w:rPr>
          <w:rStyle w:val="10"/>
          <w:rFonts w:hint="eastAsia" w:eastAsia="宋体"/>
          <w:color w:val="auto"/>
          <w:sz w:val="21"/>
          <w:szCs w:val="21"/>
        </w:rPr>
        <w:t xml:space="preserve">．春末 </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B</w:t>
      </w:r>
      <w:r>
        <w:rPr>
          <w:rStyle w:val="10"/>
          <w:rFonts w:hint="eastAsia" w:eastAsia="宋体"/>
          <w:color w:val="auto"/>
          <w:sz w:val="21"/>
          <w:szCs w:val="21"/>
        </w:rPr>
        <w:t xml:space="preserve">．初夏 </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C</w:t>
      </w:r>
      <w:r>
        <w:rPr>
          <w:rStyle w:val="10"/>
          <w:rFonts w:hint="eastAsia" w:eastAsia="宋体"/>
          <w:color w:val="auto"/>
          <w:sz w:val="21"/>
          <w:szCs w:val="21"/>
        </w:rPr>
        <w:t xml:space="preserve">．深秋 </w:t>
      </w:r>
      <w:r>
        <w:rPr>
          <w:rStyle w:val="10"/>
          <w:rFonts w:eastAsia="宋体"/>
          <w:color w:val="auto"/>
          <w:sz w:val="21"/>
          <w:szCs w:val="21"/>
        </w:rPr>
        <w:t xml:space="preserve">  </w:t>
      </w:r>
      <w:r>
        <w:rPr>
          <w:rStyle w:val="10"/>
          <w:rFonts w:eastAsia="宋体"/>
          <w:color w:val="auto"/>
          <w:sz w:val="21"/>
          <w:szCs w:val="21"/>
        </w:rPr>
        <w:tab/>
      </w:r>
      <w:r>
        <w:rPr>
          <w:rStyle w:val="10"/>
          <w:rFonts w:eastAsia="宋体"/>
          <w:color w:val="auto"/>
          <w:sz w:val="21"/>
          <w:szCs w:val="21"/>
        </w:rPr>
        <w:t>D</w:t>
      </w:r>
      <w:r>
        <w:rPr>
          <w:rStyle w:val="10"/>
          <w:rFonts w:hint="eastAsia" w:eastAsia="宋体"/>
          <w:color w:val="auto"/>
          <w:sz w:val="21"/>
          <w:szCs w:val="21"/>
        </w:rPr>
        <w:t>．隆冬</w:t>
      </w:r>
    </w:p>
    <w:p>
      <w:pPr>
        <w:pStyle w:val="21"/>
        <w:spacing w:after="200" w:line="380" w:lineRule="atLeast"/>
        <w:ind w:firstLine="420"/>
        <w:rPr>
          <w:rStyle w:val="10"/>
          <w:rFonts w:ascii="Times New Roman" w:hAnsi="Times New Roman" w:eastAsia="楷体" w:cs="Times New Roman"/>
          <w:color w:val="auto"/>
          <w:spacing w:val="-2"/>
          <w:szCs w:val="21"/>
        </w:rPr>
      </w:pPr>
      <w:r>
        <w:rPr>
          <w:rStyle w:val="10"/>
          <w:rFonts w:ascii="楷体" w:hAnsi="楷体" w:eastAsia="楷体" w:cs="Times New Roman"/>
          <w:color w:val="auto"/>
          <w:spacing w:val="-2"/>
          <w:szCs w:val="21"/>
        </w:rPr>
        <w:t>赤道日晷是我国古代普遍使用的计时仪器，主要由晷盘、晷针和底座组成（下图），其晷盘与赤道平面平行，晷针垂直穿过晷盘中心，晷针针影随太阳方位变化指向晷盘不同刻度位置来表示不同时刻。我国某中学拟建一个赤道日晷，晷针与地面夹角约</w:t>
      </w:r>
      <w:r>
        <w:rPr>
          <w:rStyle w:val="10"/>
          <w:rFonts w:ascii="Times New Roman" w:hAnsi="Times New Roman" w:eastAsia="楷体" w:cs="Times New Roman"/>
          <w:color w:val="auto"/>
          <w:spacing w:val="-2"/>
          <w:szCs w:val="21"/>
        </w:rPr>
        <w:t>为29°36'。据此完成14</w:t>
      </w:r>
      <w:r>
        <w:rPr>
          <w:rStyle w:val="10"/>
          <w:rFonts w:hint="eastAsia" w:ascii="Times New Roman" w:hAnsi="Times New Roman" w:eastAsia="楷体" w:cs="Times New Roman"/>
          <w:color w:val="auto"/>
          <w:spacing w:val="-2"/>
          <w:szCs w:val="21"/>
        </w:rPr>
        <w:t>—</w:t>
      </w:r>
      <w:r>
        <w:rPr>
          <w:rStyle w:val="10"/>
          <w:rFonts w:ascii="Times New Roman" w:hAnsi="Times New Roman" w:eastAsia="楷体" w:cs="Times New Roman"/>
          <w:color w:val="auto"/>
          <w:spacing w:val="-2"/>
          <w:szCs w:val="21"/>
        </w:rPr>
        <w:t>15题。</w:t>
      </w:r>
    </w:p>
    <w:p>
      <w:pPr>
        <w:pStyle w:val="22"/>
        <w:numPr>
          <w:ilvl w:val="0"/>
          <w:numId w:val="2"/>
        </w:numPr>
        <w:adjustRightInd w:val="0"/>
        <w:snapToGrid w:val="0"/>
        <w:spacing w:after="200" w:line="380" w:lineRule="atLeast"/>
        <w:ind w:hanging="468"/>
        <w:jc w:val="left"/>
        <w:textAlignment w:val="baseline"/>
        <w:rPr>
          <w:rStyle w:val="10"/>
          <w:rFonts w:eastAsia="宋体"/>
          <w:color w:val="auto"/>
          <w:sz w:val="21"/>
          <w:szCs w:val="21"/>
        </w:rPr>
      </w:pPr>
      <w:r>
        <w:rPr>
          <w:rStyle w:val="10"/>
          <w:rFonts w:hAnsi="Calibri" w:eastAsia="宋体"/>
          <w:color w:val="auto"/>
          <w:sz w:val="21"/>
          <w:szCs w:val="21"/>
        </w:rPr>
        <w:t>该</w:t>
      </w:r>
      <w:r>
        <w:rPr>
          <w:rStyle w:val="10"/>
          <w:rFonts w:ascii="宋体" w:hAnsi="宋体" w:eastAsia="宋体"/>
          <w:color w:val="auto"/>
          <w:sz w:val="21"/>
          <w:szCs w:val="21"/>
        </w:rPr>
        <w:t>中学</w:t>
      </w:r>
      <w:r>
        <w:rPr>
          <w:rStyle w:val="10"/>
          <w:rFonts w:hAnsi="Calibri" w:eastAsia="宋体"/>
          <w:color w:val="auto"/>
          <w:sz w:val="21"/>
          <w:szCs w:val="21"/>
        </w:rPr>
        <w:t>计划将日晷摆放在学校广场，正确的摆放方式是</w:t>
      </w:r>
    </w:p>
    <w:p>
      <w:pPr>
        <w:pStyle w:val="22"/>
        <w:tabs>
          <w:tab w:val="left" w:pos="567"/>
          <w:tab w:val="left" w:pos="2552"/>
          <w:tab w:val="left" w:pos="4536"/>
          <w:tab w:val="left" w:pos="6521"/>
        </w:tabs>
        <w:adjustRightInd w:val="0"/>
        <w:snapToGrid w:val="0"/>
        <w:spacing w:after="200" w:line="380" w:lineRule="atLeast"/>
        <w:ind w:left="468"/>
        <w:jc w:val="left"/>
        <w:textAlignment w:val="baseline"/>
        <w:rPr>
          <w:rStyle w:val="10"/>
          <w:rFonts w:eastAsia="宋体"/>
          <w:color w:val="auto"/>
          <w:sz w:val="21"/>
          <w:szCs w:val="21"/>
        </w:rPr>
      </w:pPr>
      <w:r>
        <w:rPr>
          <w:rStyle w:val="10"/>
          <w:rFonts w:hint="eastAsia" w:eastAsia="宋体"/>
          <w:color w:val="auto"/>
          <w:sz w:val="21"/>
          <w:szCs w:val="21"/>
        </w:rPr>
        <w:t xml:space="preserve">A. </w:t>
      </w:r>
      <w:r>
        <w:rPr>
          <w:rStyle w:val="10"/>
          <w:rFonts w:eastAsia="宋体"/>
          <w:color w:val="auto"/>
          <w:sz w:val="21"/>
          <w:szCs w:val="21"/>
        </w:rPr>
        <w:t>坐北朝南</w:t>
      </w:r>
      <w:r>
        <w:rPr>
          <w:rStyle w:val="10"/>
          <w:rFonts w:eastAsia="宋体"/>
          <w:color w:val="auto"/>
          <w:sz w:val="21"/>
          <w:szCs w:val="21"/>
        </w:rPr>
        <w:tab/>
      </w:r>
      <w:r>
        <w:rPr>
          <w:rStyle w:val="10"/>
          <w:rFonts w:hint="eastAsia" w:eastAsia="宋体"/>
          <w:color w:val="auto"/>
          <w:sz w:val="21"/>
          <w:szCs w:val="21"/>
        </w:rPr>
        <w:t xml:space="preserve">B. </w:t>
      </w:r>
      <w:r>
        <w:rPr>
          <w:rStyle w:val="10"/>
          <w:rFonts w:eastAsia="宋体"/>
          <w:color w:val="auto"/>
          <w:sz w:val="21"/>
          <w:szCs w:val="21"/>
        </w:rPr>
        <w:t>坐南朝北</w:t>
      </w:r>
      <w:r>
        <w:rPr>
          <w:rStyle w:val="10"/>
          <w:rFonts w:hint="eastAsia" w:eastAsia="宋体"/>
          <w:color w:val="auto"/>
          <w:sz w:val="21"/>
          <w:szCs w:val="21"/>
        </w:rPr>
        <w:t xml:space="preserve">   </w:t>
      </w:r>
      <w:r>
        <w:rPr>
          <w:rStyle w:val="10"/>
          <w:rFonts w:eastAsia="宋体"/>
          <w:color w:val="auto"/>
          <w:sz w:val="21"/>
          <w:szCs w:val="21"/>
        </w:rPr>
        <w:tab/>
      </w:r>
      <w:r>
        <w:rPr>
          <w:rStyle w:val="10"/>
          <w:rFonts w:hint="eastAsia" w:eastAsia="宋体"/>
          <w:color w:val="auto"/>
          <w:sz w:val="21"/>
          <w:szCs w:val="21"/>
        </w:rPr>
        <w:t xml:space="preserve">C. </w:t>
      </w:r>
      <w:r>
        <w:rPr>
          <w:rStyle w:val="10"/>
          <w:rFonts w:eastAsia="宋体"/>
          <w:color w:val="auto"/>
          <w:sz w:val="21"/>
          <w:szCs w:val="21"/>
        </w:rPr>
        <w:t>坐东朝西</w:t>
      </w:r>
      <w:r>
        <w:rPr>
          <w:rStyle w:val="10"/>
          <w:rFonts w:eastAsia="宋体"/>
          <w:color w:val="auto"/>
          <w:sz w:val="21"/>
          <w:szCs w:val="21"/>
        </w:rPr>
        <w:tab/>
      </w:r>
      <w:r>
        <w:rPr>
          <w:rStyle w:val="10"/>
          <w:rFonts w:hint="eastAsia" w:eastAsia="宋体"/>
          <w:color w:val="auto"/>
          <w:sz w:val="21"/>
          <w:szCs w:val="21"/>
        </w:rPr>
        <w:t xml:space="preserve">D. </w:t>
      </w:r>
      <w:r>
        <w:rPr>
          <w:rStyle w:val="10"/>
          <w:rFonts w:eastAsia="宋体"/>
          <w:color w:val="auto"/>
          <w:sz w:val="21"/>
          <w:szCs w:val="21"/>
        </w:rPr>
        <w:t>坐西朝东</w:t>
      </w:r>
    </w:p>
    <w:p>
      <w:pPr>
        <w:pStyle w:val="22"/>
        <w:numPr>
          <w:ilvl w:val="0"/>
          <w:numId w:val="2"/>
        </w:numPr>
        <w:adjustRightInd w:val="0"/>
        <w:snapToGrid w:val="0"/>
        <w:spacing w:after="200" w:line="380" w:lineRule="atLeast"/>
        <w:ind w:hanging="468"/>
        <w:jc w:val="left"/>
        <w:textAlignment w:val="baseline"/>
        <w:rPr>
          <w:rStyle w:val="10"/>
          <w:rFonts w:eastAsia="宋体"/>
          <w:color w:val="auto"/>
          <w:sz w:val="21"/>
          <w:szCs w:val="21"/>
        </w:rPr>
      </w:pPr>
      <w:r>
        <w:rPr>
          <w:rStyle w:val="10"/>
          <w:rFonts w:hint="eastAsia" w:eastAsia="宋体"/>
          <w:color w:val="auto"/>
          <w:szCs w:val="21"/>
        </w:rPr>
        <w:drawing>
          <wp:anchor distT="0" distB="0" distL="114300" distR="114300" simplePos="0" relativeHeight="251664384" behindDoc="0" locked="0" layoutInCell="1" allowOverlap="1">
            <wp:simplePos x="0" y="0"/>
            <wp:positionH relativeFrom="column">
              <wp:posOffset>3637280</wp:posOffset>
            </wp:positionH>
            <wp:positionV relativeFrom="page">
              <wp:posOffset>6770370</wp:posOffset>
            </wp:positionV>
            <wp:extent cx="1558290" cy="1338580"/>
            <wp:effectExtent l="0" t="0" r="3810" b="0"/>
            <wp:wrapSquare wrapText="bothSides"/>
            <wp:docPr id="21" name="图片 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1558290" cy="1338580"/>
                    </a:xfrm>
                    <a:prstGeom prst="rect">
                      <a:avLst/>
                    </a:prstGeom>
                    <a:noFill/>
                    <a:ln>
                      <a:noFill/>
                    </a:ln>
                  </pic:spPr>
                </pic:pic>
              </a:graphicData>
            </a:graphic>
          </wp:anchor>
        </w:drawing>
      </w:r>
      <w:r>
        <w:rPr>
          <w:rStyle w:val="10"/>
          <w:rFonts w:ascii="宋体" w:hAnsi="宋体" w:eastAsia="宋体"/>
          <w:color w:val="auto"/>
          <w:sz w:val="21"/>
          <w:szCs w:val="21"/>
        </w:rPr>
        <w:t>夏至</w:t>
      </w:r>
      <w:r>
        <w:rPr>
          <w:rStyle w:val="10"/>
          <w:rFonts w:hAnsi="Calibri" w:eastAsia="宋体"/>
          <w:color w:val="auto"/>
          <w:sz w:val="21"/>
          <w:szCs w:val="21"/>
        </w:rPr>
        <w:t>日阳光充足，放置在该中学的日晷晷针在晷盘上的移动方向是</w:t>
      </w:r>
    </w:p>
    <w:p>
      <w:pPr>
        <w:pStyle w:val="22"/>
        <w:tabs>
          <w:tab w:val="left" w:pos="567"/>
          <w:tab w:val="left" w:pos="2552"/>
          <w:tab w:val="left" w:pos="4536"/>
          <w:tab w:val="left" w:pos="6521"/>
        </w:tabs>
        <w:adjustRightInd w:val="0"/>
        <w:snapToGrid w:val="0"/>
        <w:spacing w:after="200" w:line="380" w:lineRule="atLeast"/>
        <w:ind w:left="468"/>
        <w:jc w:val="left"/>
        <w:textAlignment w:val="baseline"/>
        <w:rPr>
          <w:rStyle w:val="10"/>
          <w:rFonts w:eastAsia="宋体"/>
          <w:color w:val="auto"/>
          <w:sz w:val="21"/>
          <w:szCs w:val="21"/>
        </w:rPr>
      </w:pPr>
      <w:r>
        <w:rPr>
          <w:rStyle w:val="10"/>
          <w:rFonts w:hint="eastAsia" w:eastAsia="宋体"/>
          <w:color w:val="auto"/>
          <w:sz w:val="21"/>
          <w:szCs w:val="21"/>
        </w:rPr>
        <w:t xml:space="preserve">A. </w:t>
      </w:r>
      <w:r>
        <w:rPr>
          <w:rStyle w:val="10"/>
          <w:rFonts w:eastAsia="宋体"/>
          <w:color w:val="auto"/>
          <w:sz w:val="21"/>
          <w:szCs w:val="21"/>
        </w:rPr>
        <w:t>由西北逆时针转向东北</w:t>
      </w:r>
      <w:r>
        <w:rPr>
          <w:rStyle w:val="10"/>
          <w:rFonts w:hint="eastAsia" w:eastAsia="宋体"/>
          <w:color w:val="auto"/>
          <w:sz w:val="21"/>
          <w:szCs w:val="21"/>
        </w:rPr>
        <w:tab/>
      </w:r>
    </w:p>
    <w:p>
      <w:pPr>
        <w:pStyle w:val="22"/>
        <w:tabs>
          <w:tab w:val="left" w:pos="567"/>
          <w:tab w:val="left" w:pos="2552"/>
          <w:tab w:val="left" w:pos="4536"/>
          <w:tab w:val="left" w:pos="6521"/>
        </w:tabs>
        <w:adjustRightInd w:val="0"/>
        <w:snapToGrid w:val="0"/>
        <w:spacing w:after="200" w:line="380" w:lineRule="atLeast"/>
        <w:ind w:left="468"/>
        <w:jc w:val="left"/>
        <w:textAlignment w:val="baseline"/>
        <w:rPr>
          <w:rStyle w:val="10"/>
          <w:rFonts w:eastAsia="宋体"/>
          <w:color w:val="auto"/>
          <w:sz w:val="21"/>
          <w:szCs w:val="21"/>
        </w:rPr>
      </w:pPr>
      <w:r>
        <w:rPr>
          <w:rStyle w:val="10"/>
          <w:rFonts w:hint="eastAsia" w:eastAsia="宋体"/>
          <w:color w:val="auto"/>
          <w:sz w:val="21"/>
          <w:szCs w:val="21"/>
        </w:rPr>
        <w:t xml:space="preserve">B. </w:t>
      </w:r>
      <w:r>
        <w:rPr>
          <w:rStyle w:val="10"/>
          <w:rFonts w:eastAsia="宋体"/>
          <w:color w:val="auto"/>
          <w:sz w:val="21"/>
          <w:szCs w:val="21"/>
        </w:rPr>
        <w:t>由西北顺时针转向东北</w:t>
      </w:r>
    </w:p>
    <w:p>
      <w:pPr>
        <w:pStyle w:val="22"/>
        <w:tabs>
          <w:tab w:val="left" w:pos="567"/>
          <w:tab w:val="left" w:pos="2552"/>
          <w:tab w:val="left" w:pos="4536"/>
          <w:tab w:val="left" w:pos="6521"/>
        </w:tabs>
        <w:adjustRightInd w:val="0"/>
        <w:snapToGrid w:val="0"/>
        <w:spacing w:after="200" w:line="380" w:lineRule="atLeast"/>
        <w:ind w:left="468"/>
        <w:jc w:val="left"/>
        <w:textAlignment w:val="baseline"/>
        <w:rPr>
          <w:rStyle w:val="10"/>
          <w:rFonts w:eastAsia="宋体"/>
          <w:color w:val="auto"/>
          <w:sz w:val="21"/>
          <w:szCs w:val="21"/>
        </w:rPr>
      </w:pPr>
      <w:r>
        <w:rPr>
          <w:rStyle w:val="10"/>
          <w:rFonts w:hint="eastAsia" w:eastAsia="宋体"/>
          <w:color w:val="auto"/>
          <w:sz w:val="21"/>
          <w:szCs w:val="21"/>
        </w:rPr>
        <w:t xml:space="preserve">C. </w:t>
      </w:r>
      <w:r>
        <w:rPr>
          <w:rStyle w:val="10"/>
          <w:rFonts w:eastAsia="宋体"/>
          <w:color w:val="auto"/>
          <w:sz w:val="21"/>
          <w:szCs w:val="21"/>
        </w:rPr>
        <w:t>由西南逆时针转向东南</w:t>
      </w:r>
      <w:r>
        <w:rPr>
          <w:rStyle w:val="10"/>
          <w:rFonts w:hint="eastAsia" w:eastAsia="宋体"/>
          <w:color w:val="auto"/>
          <w:sz w:val="21"/>
          <w:szCs w:val="21"/>
        </w:rPr>
        <w:tab/>
      </w:r>
    </w:p>
    <w:p>
      <w:pPr>
        <w:pStyle w:val="22"/>
        <w:tabs>
          <w:tab w:val="left" w:pos="567"/>
          <w:tab w:val="left" w:pos="2552"/>
          <w:tab w:val="left" w:pos="4536"/>
          <w:tab w:val="left" w:pos="6521"/>
        </w:tabs>
        <w:adjustRightInd w:val="0"/>
        <w:snapToGrid w:val="0"/>
        <w:spacing w:after="200" w:line="380" w:lineRule="atLeast"/>
        <w:ind w:left="468"/>
        <w:jc w:val="left"/>
        <w:textAlignment w:val="baseline"/>
        <w:rPr>
          <w:rStyle w:val="10"/>
          <w:rFonts w:eastAsia="宋体"/>
          <w:color w:val="auto"/>
          <w:sz w:val="21"/>
          <w:szCs w:val="21"/>
        </w:rPr>
      </w:pPr>
      <w:r>
        <w:rPr>
          <w:rStyle w:val="10"/>
          <w:rFonts w:hint="eastAsia" w:eastAsia="宋体"/>
          <w:color w:val="auto"/>
          <w:sz w:val="21"/>
          <w:szCs w:val="21"/>
        </w:rPr>
        <w:t xml:space="preserve">D. </w:t>
      </w:r>
      <w:r>
        <w:rPr>
          <w:rStyle w:val="10"/>
          <w:rFonts w:eastAsia="宋体"/>
          <w:color w:val="auto"/>
          <w:sz w:val="21"/>
          <w:szCs w:val="21"/>
        </w:rPr>
        <w:t>由西南顺时针转向东南</w:t>
      </w:r>
    </w:p>
    <w:p>
      <w:pPr>
        <w:pStyle w:val="24"/>
        <w:numPr>
          <w:ilvl w:val="0"/>
          <w:numId w:val="1"/>
        </w:numPr>
        <w:tabs>
          <w:tab w:val="left" w:pos="2552"/>
          <w:tab w:val="left" w:pos="4536"/>
          <w:tab w:val="left" w:pos="6521"/>
        </w:tabs>
        <w:spacing w:after="200" w:line="380" w:lineRule="atLeast"/>
        <w:rPr>
          <w:rStyle w:val="10"/>
          <w:rFonts w:ascii="Times New Roman" w:hAnsi="Times New Roman" w:eastAsia="宋体" w:cs="Times New Roman"/>
          <w:b/>
          <w:bCs/>
          <w:color w:val="auto"/>
          <w:szCs w:val="21"/>
        </w:rPr>
      </w:pPr>
      <w:r>
        <w:rPr>
          <w:rStyle w:val="10"/>
          <w:rFonts w:hint="eastAsia" w:ascii="黑体" w:eastAsia="黑体"/>
          <w:b/>
          <w:color w:val="auto"/>
          <w:szCs w:val="21"/>
        </w:rPr>
        <w:t>综合题：</w:t>
      </w:r>
      <w:r>
        <w:rPr>
          <w:rStyle w:val="10"/>
          <w:rFonts w:ascii="Times New Roman" w:hAnsi="Times New Roman" w:eastAsia="宋体" w:cs="Times New Roman"/>
          <w:b/>
          <w:bCs/>
          <w:color w:val="auto"/>
          <w:szCs w:val="21"/>
        </w:rPr>
        <w:t>本大题共55分，16—1</w:t>
      </w:r>
      <w:r>
        <w:rPr>
          <w:rStyle w:val="10"/>
          <w:rFonts w:hint="eastAsia" w:ascii="Times New Roman" w:hAnsi="Times New Roman" w:eastAsia="宋体" w:cs="Times New Roman"/>
          <w:b/>
          <w:bCs/>
          <w:color w:val="auto"/>
          <w:szCs w:val="21"/>
        </w:rPr>
        <w:t>8</w:t>
      </w:r>
      <w:r>
        <w:rPr>
          <w:rStyle w:val="10"/>
          <w:rFonts w:ascii="Times New Roman" w:hAnsi="Times New Roman" w:eastAsia="宋体" w:cs="Times New Roman"/>
          <w:b/>
          <w:bCs/>
          <w:color w:val="auto"/>
          <w:szCs w:val="21"/>
        </w:rPr>
        <w:t>题为必考题，每个试题考生都必须作答。第</w:t>
      </w:r>
      <w:r>
        <w:rPr>
          <w:rStyle w:val="10"/>
          <w:rFonts w:hint="eastAsia" w:ascii="Times New Roman" w:hAnsi="Times New Roman" w:eastAsia="宋体" w:cs="Times New Roman"/>
          <w:b/>
          <w:bCs/>
          <w:color w:val="auto"/>
          <w:szCs w:val="21"/>
        </w:rPr>
        <w:t>19</w:t>
      </w:r>
      <w:r>
        <w:rPr>
          <w:rStyle w:val="10"/>
          <w:rFonts w:ascii="Times New Roman" w:hAnsi="Times New Roman" w:eastAsia="宋体" w:cs="Times New Roman"/>
          <w:b/>
          <w:bCs/>
          <w:color w:val="auto"/>
          <w:szCs w:val="21"/>
        </w:rPr>
        <w:t>—</w:t>
      </w:r>
      <w:r>
        <w:rPr>
          <w:rStyle w:val="10"/>
          <w:rFonts w:hint="eastAsia" w:ascii="Times New Roman" w:hAnsi="Times New Roman" w:eastAsia="宋体" w:cs="Times New Roman"/>
          <w:b/>
          <w:bCs/>
          <w:color w:val="auto"/>
          <w:szCs w:val="21"/>
        </w:rPr>
        <w:t>20</w:t>
      </w:r>
      <w:r>
        <w:rPr>
          <w:rStyle w:val="10"/>
          <w:rFonts w:ascii="Times New Roman" w:hAnsi="Times New Roman" w:eastAsia="宋体" w:cs="Times New Roman"/>
          <w:b/>
          <w:bCs/>
          <w:color w:val="auto"/>
          <w:szCs w:val="21"/>
        </w:rPr>
        <w:t>题为选考题，考生根据要求作答。</w:t>
      </w:r>
    </w:p>
    <w:p>
      <w:pPr>
        <w:pStyle w:val="21"/>
        <w:spacing w:after="200" w:line="380" w:lineRule="atLeast"/>
        <w:ind w:firstLine="210"/>
        <w:jc w:val="left"/>
        <w:textAlignment w:val="center"/>
        <w:rPr>
          <w:rStyle w:val="10"/>
          <w:rFonts w:ascii="Times New Roman" w:hAnsi="Times New Roman" w:eastAsia="宋体" w:cs="Times New Roman"/>
          <w:b/>
          <w:color w:val="auto"/>
          <w:szCs w:val="21"/>
        </w:rPr>
      </w:pPr>
      <w:r>
        <w:rPr>
          <w:rStyle w:val="10"/>
          <w:rFonts w:ascii="Times New Roman" w:hAnsi="Times New Roman" w:eastAsia="宋体" w:cs="Times New Roman"/>
          <w:b/>
          <w:color w:val="auto"/>
          <w:szCs w:val="21"/>
        </w:rPr>
        <w:t>（一）必考题：共</w:t>
      </w:r>
      <w:r>
        <w:rPr>
          <w:rStyle w:val="10"/>
          <w:rFonts w:hint="eastAsia" w:ascii="Times New Roman" w:hAnsi="Times New Roman" w:eastAsia="宋体" w:cs="Times New Roman"/>
          <w:b/>
          <w:color w:val="auto"/>
          <w:szCs w:val="21"/>
        </w:rPr>
        <w:t>47</w:t>
      </w:r>
      <w:r>
        <w:rPr>
          <w:rStyle w:val="10"/>
          <w:rFonts w:ascii="Times New Roman" w:hAnsi="Times New Roman" w:eastAsia="宋体" w:cs="Times New Roman"/>
          <w:b/>
          <w:color w:val="auto"/>
          <w:szCs w:val="21"/>
        </w:rPr>
        <w:t>分</w:t>
      </w:r>
      <w:r>
        <w:rPr>
          <w:rStyle w:val="10"/>
          <w:rFonts w:hint="eastAsia" w:ascii="Times New Roman" w:hAnsi="Times New Roman" w:eastAsia="宋体" w:cs="Times New Roman"/>
          <w:b/>
          <w:color w:val="auto"/>
          <w:szCs w:val="21"/>
        </w:rPr>
        <w:t>。</w:t>
      </w:r>
    </w:p>
    <w:p>
      <w:pPr>
        <w:pStyle w:val="22"/>
        <w:numPr>
          <w:ilvl w:val="0"/>
          <w:numId w:val="2"/>
        </w:numPr>
        <w:adjustRightInd w:val="0"/>
        <w:snapToGrid w:val="0"/>
        <w:spacing w:after="200" w:line="380" w:lineRule="atLeast"/>
        <w:ind w:hanging="468"/>
        <w:jc w:val="left"/>
        <w:textAlignment w:val="baseline"/>
        <w:rPr>
          <w:rStyle w:val="25"/>
          <w:rFonts w:ascii="Times New Roman" w:hAnsi="Times New Roman" w:eastAsia="宋体"/>
          <w:color w:val="auto"/>
          <w:sz w:val="21"/>
          <w:szCs w:val="21"/>
        </w:rPr>
      </w:pPr>
      <w:r>
        <w:rPr>
          <w:rStyle w:val="10"/>
          <w:rFonts w:eastAsia="宋体"/>
          <w:color w:val="auto"/>
          <w:sz w:val="21"/>
          <w:szCs w:val="21"/>
        </w:rPr>
        <w:t>阅读图文</w:t>
      </w:r>
      <w:r>
        <w:rPr>
          <w:rStyle w:val="25"/>
          <w:rFonts w:ascii="Times New Roman" w:hAnsi="Times New Roman" w:eastAsia="宋体"/>
          <w:color w:val="auto"/>
          <w:sz w:val="21"/>
          <w:szCs w:val="21"/>
        </w:rPr>
        <w:t>材料，完成下列任务。（1</w:t>
      </w:r>
      <w:r>
        <w:rPr>
          <w:rStyle w:val="25"/>
          <w:rFonts w:hint="eastAsia" w:ascii="Times New Roman" w:hAnsi="Times New Roman" w:eastAsia="宋体"/>
          <w:color w:val="auto"/>
          <w:sz w:val="21"/>
          <w:szCs w:val="21"/>
        </w:rPr>
        <w:t>5</w:t>
      </w:r>
      <w:r>
        <w:rPr>
          <w:rStyle w:val="25"/>
          <w:rFonts w:ascii="Times New Roman" w:hAnsi="Times New Roman" w:eastAsia="宋体"/>
          <w:color w:val="auto"/>
          <w:sz w:val="21"/>
          <w:szCs w:val="21"/>
        </w:rPr>
        <w:t>分）</w:t>
      </w:r>
    </w:p>
    <w:p>
      <w:pPr>
        <w:pStyle w:val="21"/>
        <w:adjustRightInd w:val="0"/>
        <w:snapToGrid w:val="0"/>
        <w:spacing w:after="100" w:line="380" w:lineRule="atLeast"/>
        <w:ind w:firstLine="420"/>
        <w:rPr>
          <w:rStyle w:val="10"/>
          <w:rFonts w:eastAsia="楷体" w:cs="Times New Roman"/>
          <w:color w:val="auto"/>
          <w:szCs w:val="21"/>
        </w:rPr>
      </w:pPr>
      <w:r>
        <w:rPr>
          <w:rStyle w:val="26"/>
          <w:rFonts w:eastAsia="楷体" w:cs="Times New Roman"/>
          <w:color w:val="auto"/>
          <w:sz w:val="21"/>
          <w:szCs w:val="21"/>
        </w:rPr>
        <w:t>强风从地面卷扬大量</w:t>
      </w:r>
      <w:r>
        <w:rPr>
          <w:rStyle w:val="25"/>
          <w:rFonts w:eastAsia="楷体" w:cs="Times New Roman"/>
          <w:color w:val="auto"/>
          <w:sz w:val="21"/>
          <w:szCs w:val="21"/>
        </w:rPr>
        <w:t>尘、沙、干土粒，致使空气混浊、天色昏黄，这种天气现象称为沙尘暴。</w:t>
      </w:r>
      <w:r>
        <w:rPr>
          <w:rStyle w:val="10"/>
          <w:rFonts w:eastAsia="楷体" w:cs="Times New Roman"/>
          <w:color w:val="auto"/>
          <w:szCs w:val="21"/>
        </w:rPr>
        <w:t>甘肃河西走廊（以民勤为中心）是我国的沙尘暴多发区之一。</w:t>
      </w:r>
      <w:r>
        <w:rPr>
          <w:rStyle w:val="10"/>
          <w:rFonts w:ascii="Times New Roman" w:hAnsi="Times New Roman" w:eastAsia="楷体" w:cs="Times New Roman"/>
          <w:color w:val="auto"/>
          <w:szCs w:val="21"/>
        </w:rPr>
        <w:t>2018年3月19日，民勤发生一次强沙尘暴，据专家分析是由气压系统与锋面系统共同影响所</w:t>
      </w:r>
      <w:r>
        <w:rPr>
          <w:rStyle w:val="10"/>
          <w:rFonts w:eastAsia="楷体" w:cs="Times New Roman"/>
          <w:color w:val="auto"/>
          <w:szCs w:val="21"/>
        </w:rPr>
        <w:t>致。下表为强沙尘暴发生之前民勤的降水和气温情况，下图为当日民勤地面气象要素变化。</w:t>
      </w:r>
    </w:p>
    <w:p>
      <w:pPr>
        <w:pStyle w:val="21"/>
        <w:adjustRightInd w:val="0"/>
        <w:snapToGrid w:val="0"/>
        <w:spacing w:after="200" w:line="360" w:lineRule="auto"/>
        <w:ind w:hanging="567"/>
        <w:rPr>
          <w:rStyle w:val="10"/>
          <w:rFonts w:cs="Times New Roman"/>
          <w:color w:val="auto"/>
          <w:szCs w:val="21"/>
        </w:rPr>
      </w:pPr>
      <w:r>
        <w:rPr>
          <w:rStyle w:val="10"/>
          <w:rFonts w:cs="Times New Roman"/>
          <w:color w:val="auto"/>
          <w:szCs w:val="21"/>
        </w:rPr>
        <w:drawing>
          <wp:inline distT="0" distB="0" distL="114300" distR="114300">
            <wp:extent cx="6116320" cy="1620520"/>
            <wp:effectExtent l="0" t="0" r="5080" b="5080"/>
            <wp:docPr id="8" name="图片 8" descr="截屏2021-07-19 下午10.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屏2021-07-19 下午10.10.08"/>
                    <pic:cNvPicPr>
                      <a:picLocks noChangeAspect="1"/>
                    </pic:cNvPicPr>
                  </pic:nvPicPr>
                  <pic:blipFill>
                    <a:blip r:embed="rId12"/>
                    <a:stretch>
                      <a:fillRect/>
                    </a:stretch>
                  </pic:blipFill>
                  <pic:spPr>
                    <a:xfrm>
                      <a:off x="0" y="0"/>
                      <a:ext cx="6116320" cy="1620520"/>
                    </a:xfrm>
                    <a:prstGeom prst="rect">
                      <a:avLst/>
                    </a:prstGeom>
                  </pic:spPr>
                </pic:pic>
              </a:graphicData>
            </a:graphic>
          </wp:inline>
        </w:drawing>
      </w:r>
    </w:p>
    <w:p>
      <w:pPr>
        <w:pStyle w:val="24"/>
        <w:numPr>
          <w:ilvl w:val="0"/>
          <w:numId w:val="3"/>
        </w:numPr>
        <w:spacing w:after="200" w:line="36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从物源的角度，分析前期降水和气温情况对民勤强沙尘暴发生的影响。（4分）</w:t>
      </w:r>
    </w:p>
    <w:p>
      <w:pPr>
        <w:pStyle w:val="24"/>
        <w:numPr>
          <w:ilvl w:val="0"/>
          <w:numId w:val="3"/>
        </w:numPr>
        <w:spacing w:after="200" w:line="36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根据强沙尘暴发生的时段及气象要素变化，判断该锋面系统的性质。（4分）</w:t>
      </w:r>
    </w:p>
    <w:p>
      <w:pPr>
        <w:pStyle w:val="24"/>
        <w:numPr>
          <w:ilvl w:val="0"/>
          <w:numId w:val="3"/>
        </w:numPr>
        <w:spacing w:after="200" w:line="36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指出气压系统和锋面系统的过境顺序</w:t>
      </w:r>
      <w:r>
        <w:rPr>
          <w:rStyle w:val="10"/>
          <w:rFonts w:hint="eastAsia" w:ascii="Times New Roman" w:hAnsi="Times New Roman" w:eastAsia="宋体" w:cs="Times New Roman"/>
          <w:color w:val="auto"/>
          <w:szCs w:val="21"/>
        </w:rPr>
        <w:t>，</w:t>
      </w:r>
      <w:r>
        <w:rPr>
          <w:rStyle w:val="10"/>
          <w:rFonts w:ascii="Times New Roman" w:hAnsi="Times New Roman" w:eastAsia="宋体" w:cs="Times New Roman"/>
          <w:color w:val="auto"/>
          <w:szCs w:val="21"/>
        </w:rPr>
        <w:t>分析气压系统对强沙尘暴发生所起作用。（</w:t>
      </w:r>
      <w:r>
        <w:rPr>
          <w:rStyle w:val="10"/>
          <w:rFonts w:hint="eastAsia" w:ascii="Times New Roman" w:hAnsi="Times New Roman" w:eastAsia="宋体" w:cs="Times New Roman"/>
          <w:color w:val="auto"/>
          <w:szCs w:val="21"/>
        </w:rPr>
        <w:t>7</w:t>
      </w:r>
      <w:r>
        <w:rPr>
          <w:rStyle w:val="10"/>
          <w:rFonts w:ascii="Times New Roman" w:hAnsi="Times New Roman" w:eastAsia="宋体" w:cs="Times New Roman"/>
          <w:color w:val="auto"/>
          <w:szCs w:val="21"/>
        </w:rPr>
        <w:t>分）</w:t>
      </w:r>
    </w:p>
    <w:p>
      <w:pPr>
        <w:pStyle w:val="21"/>
        <w:spacing w:after="200" w:line="360" w:lineRule="exact"/>
        <w:ind w:left="420"/>
        <w:rPr>
          <w:rStyle w:val="10"/>
          <w:rFonts w:ascii="Times New Roman" w:hAnsi="Times New Roman" w:eastAsia="宋体" w:cs="Times New Roman"/>
          <w:color w:val="auto"/>
          <w:szCs w:val="21"/>
        </w:rPr>
      </w:pPr>
    </w:p>
    <w:p>
      <w:pPr>
        <w:pStyle w:val="22"/>
        <w:numPr>
          <w:ilvl w:val="0"/>
          <w:numId w:val="2"/>
        </w:numPr>
        <w:adjustRightInd w:val="0"/>
        <w:snapToGrid w:val="0"/>
        <w:spacing w:after="200" w:line="360" w:lineRule="exact"/>
        <w:ind w:hanging="468"/>
        <w:jc w:val="left"/>
        <w:textAlignment w:val="baseline"/>
        <w:rPr>
          <w:rStyle w:val="10"/>
          <w:rFonts w:eastAsia="宋体"/>
          <w:color w:val="auto"/>
          <w:sz w:val="21"/>
          <w:szCs w:val="21"/>
        </w:rPr>
      </w:pPr>
      <w:r>
        <w:rPr>
          <w:rStyle w:val="10"/>
          <w:rFonts w:hAnsi="宋体" w:eastAsia="宋体"/>
          <w:color w:val="auto"/>
          <w:sz w:val="21"/>
          <w:szCs w:val="21"/>
        </w:rPr>
        <w:t>阅读</w:t>
      </w:r>
      <w:r>
        <w:rPr>
          <w:rStyle w:val="10"/>
          <w:rFonts w:eastAsia="宋体"/>
          <w:color w:val="auto"/>
          <w:sz w:val="21"/>
          <w:szCs w:val="21"/>
        </w:rPr>
        <w:t>图文</w:t>
      </w:r>
      <w:r>
        <w:rPr>
          <w:rStyle w:val="10"/>
          <w:rFonts w:eastAsia="宋体"/>
          <w:color w:val="auto"/>
          <w:kern w:val="0"/>
          <w:sz w:val="21"/>
          <w:szCs w:val="21"/>
        </w:rPr>
        <w:t>材料，完成下列问题。</w:t>
      </w:r>
      <w:r>
        <w:rPr>
          <w:rStyle w:val="10"/>
          <w:rFonts w:eastAsia="宋体"/>
          <w:color w:val="auto"/>
          <w:sz w:val="21"/>
          <w:szCs w:val="21"/>
        </w:rPr>
        <w:t>（</w:t>
      </w:r>
      <w:r>
        <w:rPr>
          <w:rStyle w:val="10"/>
          <w:rFonts w:hint="eastAsia" w:eastAsia="宋体"/>
          <w:color w:val="auto"/>
          <w:sz w:val="21"/>
          <w:szCs w:val="21"/>
        </w:rPr>
        <w:t>16</w:t>
      </w:r>
      <w:r>
        <w:rPr>
          <w:rStyle w:val="10"/>
          <w:rFonts w:eastAsia="宋体"/>
          <w:color w:val="auto"/>
          <w:sz w:val="21"/>
          <w:szCs w:val="21"/>
        </w:rPr>
        <w:t>分）</w:t>
      </w:r>
    </w:p>
    <w:p>
      <w:pPr>
        <w:pStyle w:val="22"/>
        <w:adjustRightInd w:val="0"/>
        <w:snapToGrid w:val="0"/>
        <w:spacing w:after="200" w:line="360" w:lineRule="exact"/>
        <w:ind w:firstLine="420"/>
        <w:textAlignment w:val="baseline"/>
        <w:rPr>
          <w:rStyle w:val="10"/>
          <w:rFonts w:eastAsia="宋体"/>
          <w:color w:val="auto"/>
          <w:sz w:val="21"/>
          <w:szCs w:val="21"/>
        </w:rPr>
      </w:pPr>
      <w:r>
        <w:rPr>
          <w:rStyle w:val="10"/>
          <w:rFonts w:ascii="宋体" w:hAnsi="宋体" w:eastAsia="宋体"/>
          <w:color w:val="auto"/>
          <w:szCs w:val="21"/>
        </w:rPr>
        <w:drawing>
          <wp:anchor distT="0" distB="0" distL="114300" distR="114300" simplePos="0" relativeHeight="251659264" behindDoc="0" locked="0" layoutInCell="1" allowOverlap="1">
            <wp:simplePos x="0" y="0"/>
            <wp:positionH relativeFrom="margin">
              <wp:posOffset>2353310</wp:posOffset>
            </wp:positionH>
            <wp:positionV relativeFrom="page">
              <wp:posOffset>5072380</wp:posOffset>
            </wp:positionV>
            <wp:extent cx="3146425" cy="1645920"/>
            <wp:effectExtent l="0" t="0" r="0" b="0"/>
            <wp:wrapSquare wrapText="bothSides"/>
            <wp:docPr id="20" name="图片 20" descr="C:\Users\wd\Documents\Tencent Files\675486982\Image\C2C\_JHO$[Z@~F5N~(I1O{5N_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d\Documents\Tencent Files\675486982\Image\C2C\_JHO$[Z@~F5N~(I1O{5N_UM.png"/>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t="3310" r="8556" b="-1"/>
                    <a:stretch>
                      <a:fillRect/>
                    </a:stretch>
                  </pic:blipFill>
                  <pic:spPr>
                    <a:xfrm>
                      <a:off x="0" y="0"/>
                      <a:ext cx="3146425" cy="1645920"/>
                    </a:xfrm>
                    <a:prstGeom prst="rect">
                      <a:avLst/>
                    </a:prstGeom>
                    <a:noFill/>
                    <a:ln>
                      <a:noFill/>
                    </a:ln>
                  </pic:spPr>
                </pic:pic>
              </a:graphicData>
            </a:graphic>
          </wp:anchor>
        </w:drawing>
      </w:r>
      <w:r>
        <w:rPr>
          <w:rStyle w:val="10"/>
          <w:rFonts w:eastAsia="楷体"/>
          <w:color w:val="auto"/>
          <w:sz w:val="21"/>
          <w:szCs w:val="21"/>
        </w:rPr>
        <w:t>研究表明，中生代末期我国南部整体地势东高西低，古长江各段尚未连接在一起，古川江与古金沙江在甲地汇合后往南流。至新生代，我国东部岩石圈向海洋伸展变薄，西部青藏高原隆起，逐渐形成西高东低的阶梯状地形，随后夏季风加强，古川江流向改变并经乙地向东流，长江各段最终连接在一起实现了大江东去。下图示意中生代末期古长江流城周边地理事物分布。</w:t>
      </w:r>
    </w:p>
    <w:p>
      <w:pPr>
        <w:pStyle w:val="24"/>
        <w:numPr>
          <w:ilvl w:val="0"/>
          <w:numId w:val="4"/>
        </w:numPr>
        <w:spacing w:after="200" w:line="36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中生代末期江汉盆地沉积地层盐度高，试从水循环角度分析其含盐量高的原因。（</w:t>
      </w:r>
      <w:r>
        <w:rPr>
          <w:rStyle w:val="10"/>
          <w:rFonts w:hint="eastAsia" w:ascii="Times New Roman" w:hAnsi="Times New Roman" w:eastAsia="宋体" w:cs="Times New Roman"/>
          <w:color w:val="auto"/>
          <w:szCs w:val="21"/>
        </w:rPr>
        <w:t>4</w:t>
      </w:r>
      <w:r>
        <w:rPr>
          <w:rStyle w:val="10"/>
          <w:rFonts w:ascii="Times New Roman" w:hAnsi="Times New Roman" w:eastAsia="宋体" w:cs="Times New Roman"/>
          <w:color w:val="auto"/>
          <w:szCs w:val="21"/>
        </w:rPr>
        <w:t>分）</w:t>
      </w:r>
    </w:p>
    <w:p>
      <w:pPr>
        <w:pStyle w:val="24"/>
        <w:numPr>
          <w:ilvl w:val="0"/>
          <w:numId w:val="4"/>
        </w:numPr>
        <w:spacing w:after="200" w:line="36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推测新生代古川江流向发生变化并经乙地向东流的地理过程。（8分）</w:t>
      </w:r>
    </w:p>
    <w:p>
      <w:pPr>
        <w:pStyle w:val="24"/>
        <w:numPr>
          <w:ilvl w:val="0"/>
          <w:numId w:val="4"/>
        </w:numPr>
        <w:spacing w:after="200" w:line="36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甲地分布着长江流域唯一一处中生代前形成的钛磁铁矿，科研人员在江汉盆地中发现了钛磁铁矿沉积物，试分析其原因。（</w:t>
      </w:r>
      <w:r>
        <w:rPr>
          <w:rStyle w:val="10"/>
          <w:rFonts w:hint="eastAsia" w:ascii="Times New Roman" w:hAnsi="Times New Roman" w:eastAsia="宋体" w:cs="Times New Roman"/>
          <w:color w:val="auto"/>
          <w:szCs w:val="21"/>
        </w:rPr>
        <w:t>4</w:t>
      </w:r>
      <w:r>
        <w:rPr>
          <w:rStyle w:val="10"/>
          <w:rFonts w:ascii="Times New Roman" w:hAnsi="Times New Roman" w:eastAsia="宋体" w:cs="Times New Roman"/>
          <w:color w:val="auto"/>
          <w:szCs w:val="21"/>
        </w:rPr>
        <w:t>分）</w:t>
      </w:r>
    </w:p>
    <w:p>
      <w:pPr>
        <w:pStyle w:val="22"/>
        <w:numPr>
          <w:ilvl w:val="0"/>
          <w:numId w:val="2"/>
        </w:numPr>
        <w:adjustRightInd w:val="0"/>
        <w:snapToGrid w:val="0"/>
        <w:spacing w:after="200" w:line="400" w:lineRule="exact"/>
        <w:ind w:hanging="468"/>
        <w:jc w:val="left"/>
        <w:textAlignment w:val="baseline"/>
        <w:rPr>
          <w:rStyle w:val="10"/>
          <w:rFonts w:eastAsia="宋体"/>
          <w:color w:val="auto"/>
          <w:sz w:val="21"/>
          <w:szCs w:val="21"/>
        </w:rPr>
      </w:pPr>
      <w:r>
        <w:rPr>
          <w:rStyle w:val="10"/>
          <w:rFonts w:eastAsia="宋体"/>
          <w:color w:val="auto"/>
          <w:sz w:val="21"/>
          <w:szCs w:val="21"/>
        </w:rPr>
        <w:t>阅读图文资料，完成下列要求。（1</w:t>
      </w:r>
      <w:r>
        <w:rPr>
          <w:rStyle w:val="10"/>
          <w:rFonts w:hint="eastAsia" w:eastAsia="宋体"/>
          <w:color w:val="auto"/>
          <w:sz w:val="21"/>
          <w:szCs w:val="21"/>
        </w:rPr>
        <w:t>6</w:t>
      </w:r>
      <w:r>
        <w:rPr>
          <w:rStyle w:val="10"/>
          <w:rFonts w:eastAsia="宋体"/>
          <w:color w:val="auto"/>
          <w:sz w:val="21"/>
          <w:szCs w:val="21"/>
        </w:rPr>
        <w:t>分）</w:t>
      </w:r>
    </w:p>
    <w:p>
      <w:pPr>
        <w:pStyle w:val="22"/>
        <w:keepNext w:val="0"/>
        <w:keepLines w:val="0"/>
        <w:pageBreakBefore w:val="0"/>
        <w:widowControl w:val="0"/>
        <w:kinsoku/>
        <w:wordWrap/>
        <w:overflowPunct/>
        <w:topLinePunct w:val="0"/>
        <w:autoSpaceDE/>
        <w:autoSpaceDN/>
        <w:bidi w:val="0"/>
        <w:adjustRightInd w:val="0"/>
        <w:snapToGrid w:val="0"/>
        <w:spacing w:after="200" w:line="360" w:lineRule="auto"/>
        <w:ind w:left="0" w:right="0" w:firstLine="420"/>
        <w:jc w:val="both"/>
        <w:textAlignment w:val="baseline"/>
        <w:outlineLvl w:val="9"/>
        <w:rPr>
          <w:rStyle w:val="10"/>
          <w:rFonts w:ascii="宋体" w:hAnsi="宋体" w:eastAsia="宋体" w:cs="宋体"/>
          <w:color w:val="auto"/>
          <w:kern w:val="0"/>
          <w:sz w:val="21"/>
          <w:szCs w:val="21"/>
        </w:rPr>
      </w:pPr>
      <w:r>
        <w:rPr>
          <w:rStyle w:val="10"/>
          <w:rFonts w:eastAsia="楷体"/>
          <w:color w:val="auto"/>
          <w:sz w:val="21"/>
          <w:szCs w:val="21"/>
        </w:rPr>
        <w:t>李树是多年生乔木，栽种3年后</w:t>
      </w:r>
      <w:r>
        <w:rPr>
          <w:rStyle w:val="10"/>
          <w:rFonts w:hint="eastAsia" w:eastAsia="楷体"/>
          <w:color w:val="auto"/>
          <w:sz w:val="21"/>
          <w:szCs w:val="21"/>
        </w:rPr>
        <w:t>才</w:t>
      </w:r>
      <w:r>
        <w:rPr>
          <w:rStyle w:val="10"/>
          <w:rFonts w:eastAsia="楷体"/>
          <w:color w:val="auto"/>
          <w:sz w:val="21"/>
          <w:szCs w:val="21"/>
        </w:rPr>
        <w:t>可挂果，4—5年后进入盛果期，细菌害虫对李树挂果及后期生长影响极大。重庆市巫溪县红池坝镇铁岭村位于巫山深处，是个远近闻名的深度贫困村。近两年来，在政府的扶持下，该村立足本村资源禀赋，引入青脆李树种植。引入初期，村民在青脆李树滴水线内套种独活</w:t>
      </w:r>
      <w:r>
        <w:rPr>
          <w:rStyle w:val="10"/>
          <w:rFonts w:hint="eastAsia" w:eastAsia="楷体"/>
          <w:color w:val="auto"/>
          <w:sz w:val="21"/>
          <w:szCs w:val="21"/>
        </w:rPr>
        <w:t>（一种传统中草药，</w:t>
      </w:r>
      <w:r>
        <w:rPr>
          <w:rStyle w:val="10"/>
          <w:rFonts w:eastAsia="楷体"/>
          <w:color w:val="auto"/>
          <w:sz w:val="21"/>
          <w:szCs w:val="21"/>
        </w:rPr>
        <w:t>以根入药</w:t>
      </w:r>
      <w:r>
        <w:rPr>
          <w:rStyle w:val="10"/>
          <w:rFonts w:hint="eastAsia" w:eastAsia="楷体"/>
          <w:color w:val="auto"/>
          <w:sz w:val="21"/>
          <w:szCs w:val="21"/>
        </w:rPr>
        <w:t>）</w:t>
      </w:r>
      <w:r>
        <w:rPr>
          <w:rStyle w:val="10"/>
          <w:rFonts w:eastAsia="楷体"/>
          <w:color w:val="auto"/>
          <w:sz w:val="21"/>
          <w:szCs w:val="21"/>
        </w:rPr>
        <w:t>，如图。独活根系发达，叶片茂盛，种下</w:t>
      </w:r>
      <w:r>
        <w:rPr>
          <w:rStyle w:val="10"/>
          <w:rFonts w:hint="eastAsia" w:eastAsia="楷体"/>
          <w:color w:val="auto"/>
          <w:sz w:val="21"/>
          <w:szCs w:val="21"/>
        </w:rPr>
        <w:t>1</w:t>
      </w:r>
      <w:r>
        <w:rPr>
          <w:rStyle w:val="10"/>
          <w:rFonts w:eastAsia="楷体"/>
          <w:color w:val="auto"/>
          <w:sz w:val="21"/>
          <w:szCs w:val="21"/>
        </w:rPr>
        <w:t>年即可采挖。套种后，青脆李树的病虫害增多，生长不良。经当地农业专家指导后，村民通过疏果、整枝、清除滴水线内套种作物等方法，使青脆李树重新焕发生机。青脆李成为该村的特色产品，村民获得了良好的经济效益，逐渐走上致富奔小康的道路。</w:t>
      </w:r>
      <w:r>
        <w:rPr>
          <w:rStyle w:val="10"/>
          <w:rFonts w:ascii="宋体" w:hAnsi="宋体" w:eastAsia="宋体" w:cs="宋体"/>
          <w:color w:val="auto"/>
          <w:kern w:val="0"/>
        </w:rPr>
        <w:drawing>
          <wp:inline distT="0" distB="0" distL="114300" distR="114300">
            <wp:extent cx="1535430" cy="1557655"/>
            <wp:effectExtent l="0" t="0" r="1397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1535430" cy="1557655"/>
                    </a:xfrm>
                    <a:prstGeom prst="rect">
                      <a:avLst/>
                    </a:prstGeom>
                    <a:noFill/>
                    <a:ln>
                      <a:noFill/>
                    </a:ln>
                  </pic:spPr>
                </pic:pic>
              </a:graphicData>
            </a:graphic>
          </wp:inline>
        </w:drawing>
      </w:r>
    </w:p>
    <w:p>
      <w:pPr>
        <w:pStyle w:val="24"/>
        <w:numPr>
          <w:ilvl w:val="0"/>
          <w:numId w:val="5"/>
        </w:numPr>
        <w:spacing w:after="200" w:line="40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简述村民在</w:t>
      </w:r>
      <w:r>
        <w:rPr>
          <w:rStyle w:val="10"/>
          <w:rFonts w:hint="eastAsia" w:ascii="Times New Roman" w:hAnsi="Times New Roman" w:eastAsia="宋体" w:cs="Times New Roman"/>
          <w:color w:val="auto"/>
          <w:szCs w:val="21"/>
        </w:rPr>
        <w:t>引</w:t>
      </w:r>
      <w:r>
        <w:rPr>
          <w:rStyle w:val="10"/>
          <w:rFonts w:ascii="Times New Roman" w:hAnsi="Times New Roman" w:eastAsia="宋体" w:cs="Times New Roman"/>
          <w:color w:val="auto"/>
          <w:szCs w:val="21"/>
        </w:rPr>
        <w:t>种清脆李树后套种独活的原因（4分）</w:t>
      </w:r>
    </w:p>
    <w:p>
      <w:pPr>
        <w:pStyle w:val="24"/>
        <w:numPr>
          <w:ilvl w:val="0"/>
          <w:numId w:val="5"/>
        </w:numPr>
        <w:spacing w:after="200" w:line="40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说明村民在清脆李树滴水线内套种独活后，清脆李树的病虫害增多且长势不良的原因。（6分）</w:t>
      </w:r>
    </w:p>
    <w:p>
      <w:pPr>
        <w:pStyle w:val="24"/>
        <w:numPr>
          <w:ilvl w:val="0"/>
          <w:numId w:val="5"/>
        </w:numPr>
        <w:spacing w:after="200" w:line="40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分别说明疏果和整枝对提高清脆李产量和品质的作用。（3分）</w:t>
      </w:r>
    </w:p>
    <w:p>
      <w:pPr>
        <w:pStyle w:val="24"/>
        <w:numPr>
          <w:ilvl w:val="0"/>
          <w:numId w:val="5"/>
        </w:numPr>
        <w:spacing w:after="200" w:line="40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分析铁岭村清脆李产业的发展对贫困山区脱贫致富的</w:t>
      </w:r>
      <w:r>
        <w:rPr>
          <w:rStyle w:val="10"/>
          <w:rFonts w:hint="eastAsia" w:ascii="Times New Roman" w:hAnsi="Times New Roman" w:eastAsia="宋体" w:cs="Times New Roman"/>
          <w:color w:val="auto"/>
          <w:szCs w:val="21"/>
        </w:rPr>
        <w:t>借鉴</w:t>
      </w:r>
      <w:r>
        <w:rPr>
          <w:rStyle w:val="10"/>
          <w:rFonts w:ascii="Times New Roman" w:hAnsi="Times New Roman" w:eastAsia="宋体" w:cs="Times New Roman"/>
          <w:color w:val="auto"/>
          <w:szCs w:val="21"/>
        </w:rPr>
        <w:t>意义（</w:t>
      </w:r>
      <w:r>
        <w:rPr>
          <w:rStyle w:val="10"/>
          <w:rFonts w:hint="eastAsia" w:ascii="Times New Roman" w:hAnsi="Times New Roman" w:eastAsia="宋体" w:cs="Times New Roman"/>
          <w:color w:val="auto"/>
          <w:szCs w:val="21"/>
        </w:rPr>
        <w:t>3</w:t>
      </w:r>
      <w:r>
        <w:rPr>
          <w:rStyle w:val="10"/>
          <w:rFonts w:ascii="Times New Roman" w:hAnsi="Times New Roman" w:eastAsia="宋体" w:cs="Times New Roman"/>
          <w:color w:val="auto"/>
          <w:szCs w:val="21"/>
        </w:rPr>
        <w:t>分）</w:t>
      </w:r>
    </w:p>
    <w:p>
      <w:pPr>
        <w:pStyle w:val="24"/>
        <w:spacing w:after="200" w:line="400" w:lineRule="exact"/>
        <w:ind w:left="780" w:firstLine="0"/>
        <w:rPr>
          <w:rStyle w:val="10"/>
          <w:rFonts w:ascii="Times New Roman" w:hAnsi="Times New Roman" w:eastAsia="宋体" w:cs="Times New Roman"/>
          <w:color w:val="auto"/>
          <w:szCs w:val="21"/>
        </w:rPr>
      </w:pPr>
    </w:p>
    <w:p>
      <w:pPr>
        <w:pStyle w:val="21"/>
        <w:spacing w:after="200" w:line="400" w:lineRule="atLeast"/>
        <w:rPr>
          <w:rStyle w:val="10"/>
          <w:rFonts w:ascii="Times New Roman" w:hAnsi="Times New Roman" w:eastAsia="宋体" w:cs="Times New Roman"/>
          <w:b/>
          <w:bCs/>
          <w:color w:val="auto"/>
          <w:szCs w:val="21"/>
        </w:rPr>
      </w:pPr>
      <w:r>
        <w:rPr>
          <w:rStyle w:val="10"/>
          <w:rFonts w:hint="eastAsia" w:ascii="Times New Roman" w:hAnsi="Times New Roman" w:eastAsia="宋体" w:cs="Times New Roman"/>
          <w:b/>
          <w:bCs/>
          <w:color w:val="auto"/>
          <w:szCs w:val="21"/>
        </w:rPr>
        <w:t>（二）</w:t>
      </w:r>
      <w:r>
        <w:rPr>
          <w:rStyle w:val="10"/>
          <w:rFonts w:ascii="Times New Roman" w:hAnsi="Times New Roman" w:eastAsia="宋体" w:cs="Times New Roman"/>
          <w:b/>
          <w:bCs/>
          <w:color w:val="auto"/>
          <w:szCs w:val="21"/>
        </w:rPr>
        <w:t>选考题：共8分。请考生从2道题中任选一题作答，并用2B铅笔将答题卡上所选题目对应的题号右侧方框涂黑，按所涂题号进行评分；多涂、多答，按所涂的首题进行评分；不涂，按本选考题的首题进行评分。</w:t>
      </w:r>
    </w:p>
    <w:p>
      <w:pPr>
        <w:pStyle w:val="24"/>
        <w:numPr>
          <w:ilvl w:val="0"/>
          <w:numId w:val="2"/>
        </w:numPr>
        <w:spacing w:after="200" w:line="400" w:lineRule="atLeast"/>
        <w:ind w:hanging="468"/>
        <w:jc w:val="left"/>
        <w:textAlignment w:val="center"/>
        <w:rPr>
          <w:rStyle w:val="10"/>
          <w:rFonts w:ascii="宋体" w:hAnsi="宋体" w:cs="楷体"/>
          <w:color w:val="auto"/>
          <w:szCs w:val="21"/>
        </w:rPr>
      </w:pPr>
      <w:r>
        <w:rPr>
          <w:rStyle w:val="10"/>
          <w:rFonts w:hint="eastAsia" w:ascii="楷体" w:hAnsi="楷体" w:eastAsia="楷体" w:cstheme="minorEastAsia"/>
          <w:color w:val="auto"/>
          <w:szCs w:val="21"/>
        </w:rPr>
        <w:t>【</w:t>
      </w:r>
      <w:r>
        <w:rPr>
          <w:rStyle w:val="10"/>
          <w:rFonts w:hint="eastAsia" w:ascii="楷体" w:hAnsi="楷体" w:eastAsia="楷体" w:cstheme="minorEastAsia"/>
          <w:b/>
          <w:bCs/>
          <w:color w:val="auto"/>
          <w:szCs w:val="21"/>
        </w:rPr>
        <w:t>旅游地理</w:t>
      </w:r>
      <w:r>
        <w:rPr>
          <w:rStyle w:val="10"/>
          <w:rFonts w:hint="eastAsia" w:ascii="楷体" w:hAnsi="楷体" w:eastAsia="楷体" w:cstheme="minorEastAsia"/>
          <w:color w:val="auto"/>
          <w:szCs w:val="21"/>
        </w:rPr>
        <w:t>】</w:t>
      </w:r>
      <w:r>
        <w:rPr>
          <w:rStyle w:val="10"/>
          <w:rFonts w:ascii="Times New Roman" w:hAnsi="Times New Roman" w:eastAsia="楷体" w:cs="Times New Roman"/>
          <w:color w:val="auto"/>
          <w:szCs w:val="21"/>
        </w:rPr>
        <w:t>（8分）</w:t>
      </w:r>
    </w:p>
    <w:p>
      <w:pPr>
        <w:pStyle w:val="22"/>
        <w:adjustRightInd w:val="0"/>
        <w:snapToGrid w:val="0"/>
        <w:spacing w:after="200" w:line="400" w:lineRule="atLeast"/>
        <w:ind w:left="468"/>
        <w:jc w:val="left"/>
        <w:textAlignment w:val="baseline"/>
        <w:rPr>
          <w:rStyle w:val="10"/>
          <w:rFonts w:eastAsia="宋体"/>
          <w:color w:val="auto"/>
          <w:sz w:val="21"/>
          <w:szCs w:val="21"/>
        </w:rPr>
      </w:pPr>
      <w:r>
        <w:rPr>
          <w:rStyle w:val="10"/>
          <w:rFonts w:eastAsia="宋体"/>
          <w:color w:val="auto"/>
          <w:sz w:val="21"/>
          <w:szCs w:val="21"/>
        </w:rPr>
        <w:t>据报道，</w:t>
      </w:r>
      <w:r>
        <w:rPr>
          <w:rStyle w:val="10"/>
          <w:rFonts w:hint="eastAsia" w:eastAsia="宋体"/>
          <w:color w:val="auto"/>
          <w:sz w:val="21"/>
          <w:szCs w:val="21"/>
        </w:rPr>
        <w:t>近</w:t>
      </w:r>
      <w:r>
        <w:rPr>
          <w:rStyle w:val="10"/>
          <w:rFonts w:eastAsia="宋体"/>
          <w:color w:val="auto"/>
          <w:sz w:val="21"/>
          <w:szCs w:val="21"/>
        </w:rPr>
        <w:t>年来中国赴马尔代夫游客日益增多，读图回答下列问题</w:t>
      </w:r>
      <w:r>
        <w:rPr>
          <w:rStyle w:val="10"/>
          <w:rFonts w:hint="eastAsia" w:eastAsia="宋体"/>
          <w:color w:val="auto"/>
          <w:sz w:val="21"/>
          <w:szCs w:val="21"/>
        </w:rPr>
        <w:t>。</w:t>
      </w:r>
      <w:r>
        <w:rPr>
          <w:rStyle w:val="10"/>
          <w:rFonts w:eastAsia="宋体"/>
          <w:color w:val="auto"/>
          <w:sz w:val="21"/>
          <w:szCs w:val="21"/>
        </w:rPr>
        <w:t xml:space="preserve"> </w:t>
      </w:r>
    </w:p>
    <w:p>
      <w:pPr>
        <w:pStyle w:val="22"/>
        <w:adjustRightInd w:val="0"/>
        <w:snapToGrid w:val="0"/>
        <w:spacing w:after="200" w:line="460" w:lineRule="exact"/>
        <w:jc w:val="left"/>
        <w:textAlignment w:val="baseline"/>
        <w:rPr>
          <w:rStyle w:val="10"/>
          <w:rFonts w:eastAsia="宋体"/>
          <w:color w:val="auto"/>
          <w:sz w:val="21"/>
          <w:szCs w:val="21"/>
        </w:rPr>
      </w:pPr>
      <w:r>
        <w:rPr>
          <w:rStyle w:val="10"/>
          <w:rFonts w:eastAsia="宋体"/>
          <w:color w:val="auto"/>
          <w:sz w:val="21"/>
          <w:szCs w:val="21"/>
        </w:rPr>
        <w:drawing>
          <wp:anchor distT="0" distB="0" distL="114300" distR="114300" simplePos="0" relativeHeight="251663360" behindDoc="1" locked="0" layoutInCell="1" allowOverlap="1">
            <wp:simplePos x="0" y="0"/>
            <wp:positionH relativeFrom="column">
              <wp:posOffset>1208405</wp:posOffset>
            </wp:positionH>
            <wp:positionV relativeFrom="paragraph">
              <wp:posOffset>115570</wp:posOffset>
            </wp:positionV>
            <wp:extent cx="3059430" cy="1546225"/>
            <wp:effectExtent l="0" t="0" r="7620" b="0"/>
            <wp:wrapTight wrapText="bothSides">
              <wp:wrapPolygon>
                <wp:start x="0" y="0"/>
                <wp:lineTo x="0" y="21290"/>
                <wp:lineTo x="21519" y="21290"/>
                <wp:lineTo x="21519" y="0"/>
                <wp:lineTo x="0" y="0"/>
              </wp:wrapPolygon>
            </wp:wrapTight>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t="12641" b="19959"/>
                    <a:stretch>
                      <a:fillRect/>
                    </a:stretch>
                  </pic:blipFill>
                  <pic:spPr>
                    <a:xfrm>
                      <a:off x="0" y="0"/>
                      <a:ext cx="3059430" cy="1546225"/>
                    </a:xfrm>
                    <a:prstGeom prst="rect">
                      <a:avLst/>
                    </a:prstGeom>
                    <a:ln>
                      <a:noFill/>
                    </a:ln>
                  </pic:spPr>
                </pic:pic>
              </a:graphicData>
            </a:graphic>
          </wp:anchor>
        </w:drawing>
      </w:r>
    </w:p>
    <w:p>
      <w:pPr>
        <w:pStyle w:val="22"/>
        <w:adjustRightInd w:val="0"/>
        <w:snapToGrid w:val="0"/>
        <w:spacing w:after="200" w:line="460" w:lineRule="exact"/>
        <w:jc w:val="left"/>
        <w:textAlignment w:val="baseline"/>
        <w:rPr>
          <w:rStyle w:val="10"/>
          <w:rFonts w:eastAsia="宋体"/>
          <w:color w:val="auto"/>
          <w:sz w:val="21"/>
          <w:szCs w:val="21"/>
        </w:rPr>
      </w:pPr>
    </w:p>
    <w:p>
      <w:pPr>
        <w:pStyle w:val="22"/>
        <w:adjustRightInd w:val="0"/>
        <w:snapToGrid w:val="0"/>
        <w:spacing w:after="200" w:line="460" w:lineRule="exact"/>
        <w:jc w:val="left"/>
        <w:textAlignment w:val="baseline"/>
        <w:rPr>
          <w:rStyle w:val="10"/>
          <w:rFonts w:eastAsia="宋体"/>
          <w:color w:val="auto"/>
          <w:sz w:val="21"/>
          <w:szCs w:val="21"/>
        </w:rPr>
      </w:pPr>
    </w:p>
    <w:p>
      <w:pPr>
        <w:pStyle w:val="22"/>
        <w:adjustRightInd w:val="0"/>
        <w:snapToGrid w:val="0"/>
        <w:spacing w:after="200" w:line="460" w:lineRule="exact"/>
        <w:jc w:val="left"/>
        <w:textAlignment w:val="baseline"/>
        <w:rPr>
          <w:rStyle w:val="10"/>
          <w:rFonts w:eastAsia="宋体"/>
          <w:color w:val="auto"/>
          <w:sz w:val="21"/>
          <w:szCs w:val="21"/>
        </w:rPr>
      </w:pPr>
    </w:p>
    <w:p>
      <w:pPr>
        <w:pStyle w:val="22"/>
        <w:adjustRightInd w:val="0"/>
        <w:snapToGrid w:val="0"/>
        <w:spacing w:after="200" w:line="460" w:lineRule="exact"/>
        <w:jc w:val="left"/>
        <w:textAlignment w:val="baseline"/>
        <w:rPr>
          <w:rStyle w:val="10"/>
          <w:rFonts w:eastAsia="宋体"/>
          <w:color w:val="auto"/>
          <w:sz w:val="21"/>
          <w:szCs w:val="21"/>
        </w:rPr>
      </w:pPr>
    </w:p>
    <w:p>
      <w:pPr>
        <w:pStyle w:val="22"/>
        <w:adjustRightInd w:val="0"/>
        <w:snapToGrid w:val="0"/>
        <w:spacing w:after="200" w:line="460" w:lineRule="exact"/>
        <w:jc w:val="left"/>
        <w:textAlignment w:val="baseline"/>
        <w:rPr>
          <w:rStyle w:val="10"/>
          <w:rFonts w:eastAsia="宋体"/>
          <w:color w:val="auto"/>
          <w:sz w:val="21"/>
          <w:szCs w:val="21"/>
        </w:rPr>
      </w:pPr>
    </w:p>
    <w:p>
      <w:pPr>
        <w:pStyle w:val="24"/>
        <w:numPr>
          <w:ilvl w:val="0"/>
          <w:numId w:val="6"/>
        </w:numPr>
        <w:spacing w:after="200" w:line="40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从</w:t>
      </w:r>
      <w:r>
        <w:rPr>
          <w:rStyle w:val="10"/>
          <w:rFonts w:hint="eastAsia" w:ascii="Times New Roman" w:hAnsi="Times New Roman" w:eastAsia="宋体" w:cs="Times New Roman"/>
          <w:color w:val="auto"/>
          <w:szCs w:val="21"/>
        </w:rPr>
        <w:t>旅游资源的</w:t>
      </w:r>
      <w:r>
        <w:rPr>
          <w:rStyle w:val="10"/>
          <w:rFonts w:ascii="Times New Roman" w:hAnsi="Times New Roman" w:eastAsia="宋体" w:cs="Times New Roman"/>
          <w:color w:val="auto"/>
          <w:szCs w:val="21"/>
        </w:rPr>
        <w:t>角度分析</w:t>
      </w:r>
      <w:r>
        <w:rPr>
          <w:rStyle w:val="10"/>
          <w:rFonts w:hint="eastAsia" w:ascii="Times New Roman" w:hAnsi="Times New Roman" w:eastAsia="宋体" w:cs="Times New Roman"/>
          <w:color w:val="auto"/>
          <w:szCs w:val="21"/>
        </w:rPr>
        <w:t>近</w:t>
      </w:r>
      <w:r>
        <w:rPr>
          <w:rStyle w:val="10"/>
          <w:rFonts w:ascii="Times New Roman" w:hAnsi="Times New Roman" w:eastAsia="宋体" w:cs="Times New Roman"/>
          <w:color w:val="auto"/>
          <w:szCs w:val="21"/>
        </w:rPr>
        <w:t>年中国赴马游客日益增多的原因</w:t>
      </w:r>
      <w:r>
        <w:rPr>
          <w:rStyle w:val="10"/>
          <w:rFonts w:hint="eastAsia" w:ascii="Times New Roman" w:hAnsi="Times New Roman" w:eastAsia="宋体" w:cs="Times New Roman"/>
          <w:color w:val="auto"/>
          <w:szCs w:val="21"/>
        </w:rPr>
        <w:t>。（4分）</w:t>
      </w:r>
    </w:p>
    <w:p>
      <w:pPr>
        <w:pStyle w:val="24"/>
        <w:numPr>
          <w:ilvl w:val="0"/>
          <w:numId w:val="6"/>
        </w:numPr>
        <w:spacing w:after="200" w:line="40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我国沿海岛屿众多，为加快海岛开发，你认为应该采取哪些</w:t>
      </w:r>
      <w:r>
        <w:rPr>
          <w:rStyle w:val="10"/>
          <w:rFonts w:hint="eastAsia" w:ascii="Times New Roman" w:hAnsi="Times New Roman" w:eastAsia="宋体" w:cs="Times New Roman"/>
          <w:color w:val="auto"/>
          <w:szCs w:val="21"/>
        </w:rPr>
        <w:t>措施？（4分）</w:t>
      </w:r>
    </w:p>
    <w:p>
      <w:pPr>
        <w:pStyle w:val="21"/>
        <w:spacing w:after="200" w:line="240" w:lineRule="atLeast"/>
        <w:rPr>
          <w:rStyle w:val="10"/>
          <w:color w:val="auto"/>
          <w:szCs w:val="21"/>
        </w:rPr>
      </w:pPr>
    </w:p>
    <w:p>
      <w:pPr>
        <w:pStyle w:val="21"/>
        <w:spacing w:after="200" w:line="240" w:lineRule="atLeast"/>
        <w:rPr>
          <w:rStyle w:val="10"/>
          <w:color w:val="auto"/>
          <w:szCs w:val="21"/>
        </w:rPr>
      </w:pPr>
    </w:p>
    <w:p>
      <w:pPr>
        <w:pStyle w:val="24"/>
        <w:numPr>
          <w:ilvl w:val="0"/>
          <w:numId w:val="2"/>
        </w:numPr>
        <w:spacing w:before="100" w:after="200" w:line="400" w:lineRule="exact"/>
        <w:ind w:hanging="468"/>
        <w:jc w:val="left"/>
        <w:textAlignment w:val="center"/>
        <w:rPr>
          <w:rStyle w:val="10"/>
          <w:rFonts w:ascii="楷体" w:hAnsi="楷体" w:eastAsia="楷体" w:cstheme="minorEastAsia"/>
          <w:color w:val="auto"/>
          <w:szCs w:val="21"/>
        </w:rPr>
      </w:pPr>
      <w:r>
        <w:rPr>
          <w:rStyle w:val="10"/>
          <w:rFonts w:hint="eastAsia" w:ascii="楷体" w:hAnsi="楷体" w:eastAsia="楷体" w:cstheme="minorEastAsia"/>
          <w:color w:val="auto"/>
          <w:szCs w:val="21"/>
        </w:rPr>
        <w:t>【</w:t>
      </w:r>
      <w:r>
        <w:rPr>
          <w:rStyle w:val="10"/>
          <w:rFonts w:hint="eastAsia" w:ascii="楷体" w:hAnsi="楷体" w:eastAsia="楷体" w:cstheme="minorEastAsia"/>
          <w:b/>
          <w:bCs/>
          <w:color w:val="auto"/>
          <w:szCs w:val="21"/>
        </w:rPr>
        <w:t>环境保护</w:t>
      </w:r>
      <w:r>
        <w:rPr>
          <w:rStyle w:val="10"/>
          <w:rFonts w:hint="eastAsia" w:ascii="楷体" w:hAnsi="楷体" w:eastAsia="楷体" w:cstheme="minorEastAsia"/>
          <w:color w:val="auto"/>
          <w:szCs w:val="21"/>
        </w:rPr>
        <w:t>】</w:t>
      </w:r>
      <w:r>
        <w:rPr>
          <w:rStyle w:val="10"/>
          <w:rFonts w:ascii="Times New Roman" w:hAnsi="Times New Roman" w:eastAsia="楷体" w:cs="Times New Roman"/>
          <w:color w:val="auto"/>
          <w:szCs w:val="21"/>
        </w:rPr>
        <w:t>（8分）</w:t>
      </w:r>
    </w:p>
    <w:p>
      <w:pPr>
        <w:pStyle w:val="21"/>
        <w:spacing w:after="200" w:line="400" w:lineRule="exact"/>
        <w:ind w:firstLine="420"/>
        <w:rPr>
          <w:rStyle w:val="10"/>
          <w:rFonts w:ascii="Times New Roman" w:hAnsi="Times New Roman" w:eastAsia="宋体" w:cs="Times New Roman"/>
          <w:color w:val="auto"/>
          <w:szCs w:val="21"/>
        </w:rPr>
      </w:pPr>
      <w:r>
        <w:rPr>
          <w:rStyle w:val="10"/>
          <w:color w:val="auto"/>
          <w:szCs w:val="21"/>
        </w:rPr>
        <w:drawing>
          <wp:anchor distT="0" distB="0" distL="114300" distR="114300" simplePos="0" relativeHeight="251661312" behindDoc="0" locked="0" layoutInCell="1" allowOverlap="1">
            <wp:simplePos x="0" y="0"/>
            <wp:positionH relativeFrom="margin">
              <wp:posOffset>1478915</wp:posOffset>
            </wp:positionH>
            <wp:positionV relativeFrom="paragraph">
              <wp:posOffset>259080</wp:posOffset>
            </wp:positionV>
            <wp:extent cx="2933700" cy="1253490"/>
            <wp:effectExtent l="0" t="0" r="0"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32503" t="43284" r="35019" b="32020"/>
                    <a:stretch>
                      <a:fillRect/>
                    </a:stretch>
                  </pic:blipFill>
                  <pic:spPr>
                    <a:xfrm>
                      <a:off x="0" y="0"/>
                      <a:ext cx="2933700" cy="1253490"/>
                    </a:xfrm>
                    <a:prstGeom prst="rect">
                      <a:avLst/>
                    </a:prstGeom>
                    <a:ln>
                      <a:noFill/>
                    </a:ln>
                  </pic:spPr>
                </pic:pic>
              </a:graphicData>
            </a:graphic>
          </wp:anchor>
        </w:drawing>
      </w:r>
      <w:r>
        <w:rPr>
          <w:rStyle w:val="10"/>
          <w:rFonts w:ascii="Times New Roman" w:hAnsi="Times New Roman" w:eastAsia="宋体" w:cs="Times New Roman"/>
          <w:color w:val="auto"/>
          <w:szCs w:val="21"/>
        </w:rPr>
        <w:t>读城市各类功能区噪声达标率图</w:t>
      </w:r>
      <w:r>
        <w:rPr>
          <w:rStyle w:val="10"/>
          <w:rFonts w:hint="eastAsia" w:ascii="Times New Roman" w:hAnsi="Times New Roman" w:eastAsia="宋体" w:cs="Times New Roman"/>
          <w:color w:val="auto"/>
          <w:szCs w:val="21"/>
        </w:rPr>
        <w:t>，</w:t>
      </w:r>
      <w:r>
        <w:rPr>
          <w:rStyle w:val="10"/>
          <w:rFonts w:ascii="Times New Roman" w:hAnsi="Times New Roman" w:eastAsia="宋体" w:cs="Times New Roman"/>
          <w:color w:val="auto"/>
          <w:szCs w:val="21"/>
        </w:rPr>
        <w:t>完成下列各题</w:t>
      </w:r>
      <w:r>
        <w:rPr>
          <w:rStyle w:val="10"/>
          <w:rFonts w:hint="eastAsia" w:ascii="Times New Roman" w:hAnsi="Times New Roman" w:eastAsia="宋体" w:cs="Times New Roman"/>
          <w:color w:val="auto"/>
          <w:szCs w:val="21"/>
        </w:rPr>
        <w:t>。</w:t>
      </w:r>
    </w:p>
    <w:p>
      <w:pPr>
        <w:pStyle w:val="21"/>
        <w:spacing w:after="200" w:line="400" w:lineRule="exact"/>
        <w:rPr>
          <w:rStyle w:val="10"/>
          <w:color w:val="auto"/>
          <w:szCs w:val="21"/>
        </w:rPr>
      </w:pPr>
    </w:p>
    <w:p>
      <w:pPr>
        <w:pStyle w:val="21"/>
        <w:spacing w:after="200" w:line="400" w:lineRule="exact"/>
        <w:rPr>
          <w:rStyle w:val="10"/>
          <w:color w:val="auto"/>
          <w:szCs w:val="21"/>
        </w:rPr>
      </w:pPr>
    </w:p>
    <w:p>
      <w:pPr>
        <w:pStyle w:val="21"/>
        <w:spacing w:after="200" w:line="400" w:lineRule="exact"/>
        <w:rPr>
          <w:rStyle w:val="10"/>
          <w:color w:val="auto"/>
          <w:szCs w:val="21"/>
        </w:rPr>
      </w:pPr>
    </w:p>
    <w:p>
      <w:pPr>
        <w:pStyle w:val="21"/>
        <w:spacing w:after="200" w:line="400" w:lineRule="exact"/>
        <w:rPr>
          <w:rStyle w:val="10"/>
          <w:color w:val="auto"/>
          <w:szCs w:val="21"/>
        </w:rPr>
      </w:pPr>
    </w:p>
    <w:p>
      <w:pPr>
        <w:pStyle w:val="21"/>
        <w:spacing w:after="200" w:line="400" w:lineRule="exact"/>
        <w:rPr>
          <w:rStyle w:val="10"/>
          <w:color w:val="auto"/>
          <w:szCs w:val="21"/>
        </w:rPr>
      </w:pPr>
    </w:p>
    <w:p>
      <w:pPr>
        <w:pStyle w:val="21"/>
        <w:spacing w:after="200" w:line="400" w:lineRule="exact"/>
        <w:ind w:firstLine="403"/>
        <w:rPr>
          <w:rStyle w:val="10"/>
          <w:rFonts w:ascii="Times New Roman" w:hAnsi="Times New Roman" w:eastAsia="楷体" w:cs="Times New Roman"/>
          <w:color w:val="auto"/>
          <w:sz w:val="20"/>
          <w:szCs w:val="20"/>
        </w:rPr>
      </w:pPr>
      <w:r>
        <w:rPr>
          <w:rStyle w:val="10"/>
          <w:rFonts w:ascii="Times New Roman" w:hAnsi="Times New Roman" w:eastAsia="楷体" w:cs="Times New Roman"/>
          <w:b/>
          <w:bCs/>
          <w:color w:val="auto"/>
          <w:sz w:val="20"/>
          <w:szCs w:val="20"/>
        </w:rPr>
        <w:t>注</w:t>
      </w:r>
      <w:r>
        <w:rPr>
          <w:rStyle w:val="10"/>
          <w:rFonts w:hint="eastAsia" w:ascii="Times New Roman" w:hAnsi="Times New Roman" w:eastAsia="楷体" w:cs="Times New Roman"/>
          <w:b/>
          <w:bCs/>
          <w:color w:val="auto"/>
          <w:sz w:val="20"/>
          <w:szCs w:val="20"/>
        </w:rPr>
        <w:t>：</w:t>
      </w:r>
      <w:r>
        <w:rPr>
          <w:rStyle w:val="10"/>
          <w:rFonts w:ascii="Times New Roman" w:hAnsi="Times New Roman" w:eastAsia="楷体" w:cs="Times New Roman"/>
          <w:color w:val="auto"/>
          <w:sz w:val="20"/>
          <w:szCs w:val="20"/>
        </w:rPr>
        <w:t>Ⅰ类区标准适用于疗养区、高级别墅区等需要特别安静的区域</w:t>
      </w:r>
      <w:r>
        <w:rPr>
          <w:rStyle w:val="10"/>
          <w:rFonts w:hint="eastAsia" w:ascii="Times New Roman" w:hAnsi="Times New Roman" w:eastAsia="楷体" w:cs="Times New Roman"/>
          <w:color w:val="auto"/>
          <w:sz w:val="20"/>
          <w:szCs w:val="20"/>
        </w:rPr>
        <w:t>；</w:t>
      </w:r>
      <w:r>
        <w:rPr>
          <w:rStyle w:val="10"/>
          <w:rFonts w:ascii="Times New Roman" w:hAnsi="Times New Roman" w:eastAsia="楷体" w:cs="Times New Roman"/>
          <w:color w:val="auto"/>
          <w:sz w:val="20"/>
          <w:szCs w:val="20"/>
        </w:rPr>
        <w:t>Ⅱ类区标准适用于以居住、文教为主的区域</w:t>
      </w:r>
      <w:r>
        <w:rPr>
          <w:rStyle w:val="10"/>
          <w:rFonts w:hint="eastAsia" w:ascii="Times New Roman" w:hAnsi="Times New Roman" w:eastAsia="楷体" w:cs="Times New Roman"/>
          <w:color w:val="auto"/>
          <w:sz w:val="20"/>
          <w:szCs w:val="20"/>
        </w:rPr>
        <w:t>；</w:t>
      </w:r>
      <w:r>
        <w:rPr>
          <w:rStyle w:val="10"/>
          <w:rFonts w:ascii="Times New Roman" w:hAnsi="Times New Roman" w:eastAsia="楷体" w:cs="Times New Roman"/>
          <w:color w:val="auto"/>
          <w:sz w:val="20"/>
          <w:szCs w:val="20"/>
        </w:rPr>
        <w:t>Ⅲ类区标准适用于居住、商业、工业混杂区</w:t>
      </w:r>
      <w:r>
        <w:rPr>
          <w:rStyle w:val="10"/>
          <w:rFonts w:hint="eastAsia" w:ascii="Times New Roman" w:hAnsi="Times New Roman" w:eastAsia="楷体" w:cs="Times New Roman"/>
          <w:color w:val="auto"/>
          <w:sz w:val="20"/>
          <w:szCs w:val="20"/>
        </w:rPr>
        <w:t>；</w:t>
      </w:r>
      <w:r>
        <w:rPr>
          <w:rStyle w:val="10"/>
          <w:rFonts w:ascii="Times New Roman" w:hAnsi="Times New Roman" w:eastAsia="楷体" w:cs="Times New Roman"/>
          <w:color w:val="auto"/>
          <w:sz w:val="20"/>
          <w:szCs w:val="20"/>
        </w:rPr>
        <w:t>Ⅳ类区标准适用于工业区</w:t>
      </w:r>
      <w:r>
        <w:rPr>
          <w:rStyle w:val="10"/>
          <w:rFonts w:hint="eastAsia" w:ascii="Times New Roman" w:hAnsi="Times New Roman" w:eastAsia="楷体" w:cs="Times New Roman"/>
          <w:color w:val="auto"/>
          <w:sz w:val="20"/>
          <w:szCs w:val="20"/>
        </w:rPr>
        <w:t>；</w:t>
      </w:r>
      <w:r>
        <w:rPr>
          <w:rStyle w:val="10"/>
          <w:rFonts w:ascii="Times New Roman" w:hAnsi="Times New Roman" w:eastAsia="楷体" w:cs="Times New Roman"/>
          <w:color w:val="auto"/>
          <w:sz w:val="20"/>
          <w:szCs w:val="20"/>
        </w:rPr>
        <w:t xml:space="preserve">Ⅴ类区标准适用于城市中的交通干线及道路两侧区域。 </w:t>
      </w:r>
    </w:p>
    <w:p>
      <w:pPr>
        <w:pStyle w:val="24"/>
        <w:numPr>
          <w:ilvl w:val="0"/>
          <w:numId w:val="7"/>
        </w:numPr>
        <w:spacing w:after="200" w:line="400" w:lineRule="exact"/>
        <w:ind w:left="777" w:hanging="357"/>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据图归纳各类功能区噪声达标率的特点。（</w:t>
      </w:r>
      <w:r>
        <w:rPr>
          <w:rStyle w:val="10"/>
          <w:rFonts w:hint="eastAsia" w:ascii="Times New Roman" w:hAnsi="Times New Roman" w:eastAsia="宋体" w:cs="Times New Roman"/>
          <w:color w:val="auto"/>
          <w:szCs w:val="21"/>
        </w:rPr>
        <w:t>4</w:t>
      </w:r>
      <w:r>
        <w:rPr>
          <w:rStyle w:val="10"/>
          <w:rFonts w:ascii="Times New Roman" w:hAnsi="Times New Roman" w:eastAsia="宋体" w:cs="Times New Roman"/>
          <w:color w:val="auto"/>
          <w:szCs w:val="21"/>
        </w:rPr>
        <w:t xml:space="preserve">分） </w:t>
      </w:r>
    </w:p>
    <w:p>
      <w:pPr>
        <w:pStyle w:val="24"/>
        <w:numPr>
          <w:ilvl w:val="0"/>
          <w:numId w:val="7"/>
        </w:numPr>
        <w:spacing w:after="200" w:line="400" w:lineRule="exac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请就</w:t>
      </w:r>
      <w:r>
        <w:rPr>
          <w:rStyle w:val="10"/>
          <w:rFonts w:hint="eastAsia" w:ascii="Times New Roman" w:hAnsi="Times New Roman" w:eastAsia="宋体" w:cs="Times New Roman"/>
          <w:color w:val="auto"/>
          <w:szCs w:val="21"/>
        </w:rPr>
        <w:t xml:space="preserve"> </w:t>
      </w:r>
      <w:r>
        <w:rPr>
          <w:rStyle w:val="10"/>
          <w:rFonts w:ascii="Times New Roman" w:hAnsi="Times New Roman" w:eastAsia="宋体" w:cs="Times New Roman"/>
          <w:color w:val="auto"/>
          <w:szCs w:val="21"/>
        </w:rPr>
        <w:t>Ⅱ 类区夜晚达标率低提出合理化建议。（4 分）</w:t>
      </w:r>
    </w:p>
    <w:p>
      <w:pPr>
        <w:pStyle w:val="24"/>
        <w:spacing w:after="200" w:line="400" w:lineRule="exact"/>
        <w:ind w:left="780" w:firstLine="0"/>
        <w:rPr>
          <w:rStyle w:val="10"/>
          <w:rFonts w:ascii="Times New Roman" w:hAnsi="Times New Roman" w:eastAsia="宋体" w:cs="Times New Roman"/>
          <w:color w:val="auto"/>
          <w:szCs w:val="21"/>
        </w:rPr>
      </w:pPr>
    </w:p>
    <w:p>
      <w:pPr>
        <w:pStyle w:val="21"/>
        <w:spacing w:after="200" w:line="400" w:lineRule="exact"/>
        <w:jc w:val="left"/>
        <w:textAlignment w:val="center"/>
        <w:rPr>
          <w:rStyle w:val="10"/>
          <w:rFonts w:ascii="宋体" w:hAnsi="宋体" w:eastAsia="宋体" w:cs="宋体"/>
          <w:color w:val="auto"/>
          <w:szCs w:val="21"/>
        </w:rPr>
      </w:pPr>
    </w:p>
    <w:p>
      <w:pPr>
        <w:pStyle w:val="21"/>
        <w:spacing w:after="200" w:line="276" w:lineRule="auto"/>
        <w:rPr>
          <w:rStyle w:val="10"/>
          <w:color w:val="auto"/>
          <w:szCs w:val="21"/>
        </w:rPr>
      </w:pPr>
    </w:p>
    <w:p>
      <w:pPr>
        <w:pStyle w:val="21"/>
        <w:spacing w:after="200" w:line="276" w:lineRule="auto"/>
        <w:rPr>
          <w:rStyle w:val="10"/>
          <w:color w:val="auto"/>
          <w:szCs w:val="21"/>
        </w:rPr>
      </w:pPr>
    </w:p>
    <w:p>
      <w:pPr>
        <w:pStyle w:val="21"/>
        <w:spacing w:after="200" w:line="276" w:lineRule="auto"/>
        <w:jc w:val="both"/>
        <w:rPr>
          <w:rStyle w:val="10"/>
          <w:rFonts w:hint="eastAsia" w:ascii="Times New Roman" w:hAnsi="Times New Roman" w:eastAsia="宋体" w:cs="Times New Roman"/>
          <w:color w:val="auto"/>
          <w:szCs w:val="21"/>
        </w:rPr>
      </w:pPr>
      <w:bookmarkStart w:id="0" w:name="_GoBack"/>
      <w:bookmarkEnd w:id="0"/>
    </w:p>
    <w:p>
      <w:pPr>
        <w:pStyle w:val="21"/>
        <w:tabs>
          <w:tab w:val="left" w:pos="2552"/>
          <w:tab w:val="left" w:pos="4536"/>
          <w:tab w:val="left" w:pos="6521"/>
        </w:tabs>
        <w:spacing w:before="100" w:after="200" w:line="420" w:lineRule="exact"/>
        <w:jc w:val="center"/>
        <w:rPr>
          <w:rStyle w:val="10"/>
          <w:rFonts w:ascii="Times New Roman" w:hAnsi="Times New Roman" w:eastAsia="宋体" w:cs="Times New Roman"/>
          <w:b/>
          <w:bCs/>
          <w:color w:val="auto"/>
          <w:sz w:val="32"/>
          <w:szCs w:val="32"/>
        </w:rPr>
      </w:pPr>
      <w:r>
        <w:rPr>
          <w:rStyle w:val="10"/>
          <w:rFonts w:hint="eastAsia" w:ascii="Times New Roman" w:hAnsi="Times New Roman" w:eastAsia="宋体" w:cs="Times New Roman"/>
          <w:b/>
          <w:bCs/>
          <w:color w:val="auto"/>
          <w:sz w:val="32"/>
          <w:szCs w:val="32"/>
        </w:rPr>
        <w:t>高2</w:t>
      </w:r>
      <w:r>
        <w:rPr>
          <w:rStyle w:val="10"/>
          <w:rFonts w:ascii="Times New Roman" w:hAnsi="Times New Roman" w:eastAsia="宋体" w:cs="Times New Roman"/>
          <w:b/>
          <w:bCs/>
          <w:color w:val="auto"/>
          <w:sz w:val="32"/>
          <w:szCs w:val="32"/>
        </w:rPr>
        <w:t>021</w:t>
      </w:r>
      <w:r>
        <w:rPr>
          <w:rStyle w:val="10"/>
          <w:rFonts w:hint="eastAsia" w:ascii="Times New Roman" w:hAnsi="Times New Roman" w:eastAsia="宋体" w:cs="Times New Roman"/>
          <w:b/>
          <w:bCs/>
          <w:color w:val="auto"/>
          <w:sz w:val="32"/>
          <w:szCs w:val="32"/>
        </w:rPr>
        <w:t>级第四次月考地理参考答案</w:t>
      </w:r>
    </w:p>
    <w:p>
      <w:pPr>
        <w:pStyle w:val="21"/>
        <w:tabs>
          <w:tab w:val="left" w:pos="2552"/>
          <w:tab w:val="left" w:pos="4536"/>
          <w:tab w:val="left" w:pos="6521"/>
        </w:tabs>
        <w:spacing w:before="100" w:after="200" w:line="340" w:lineRule="atLeast"/>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1—5  BDACA        6—10  BADCC       11—15  ABABD</w:t>
      </w:r>
    </w:p>
    <w:p>
      <w:pPr>
        <w:pStyle w:val="21"/>
        <w:spacing w:after="200" w:line="340" w:lineRule="atLeast"/>
        <w:rPr>
          <w:rStyle w:val="25"/>
          <w:rFonts w:ascii="Times New Roman" w:hAnsi="Times New Roman" w:eastAsia="宋体" w:cs="Times New Roman"/>
          <w:color w:val="auto"/>
          <w:sz w:val="21"/>
          <w:szCs w:val="21"/>
        </w:rPr>
      </w:pPr>
      <w:r>
        <w:rPr>
          <w:rStyle w:val="25"/>
          <w:rFonts w:ascii="Times New Roman" w:hAnsi="Times New Roman" w:eastAsia="宋体" w:cs="Times New Roman"/>
          <w:color w:val="auto"/>
          <w:sz w:val="21"/>
          <w:szCs w:val="21"/>
        </w:rPr>
        <w:t>16．（16分）</w:t>
      </w:r>
    </w:p>
    <w:p>
      <w:pPr>
        <w:pStyle w:val="21"/>
        <w:spacing w:after="200" w:line="340" w:lineRule="atLeast"/>
        <w:ind w:firstLine="440"/>
        <w:rPr>
          <w:rStyle w:val="25"/>
          <w:rFonts w:ascii="Times New Roman" w:hAnsi="Times New Roman" w:eastAsia="宋体" w:cs="Times New Roman"/>
          <w:color w:val="auto"/>
          <w:sz w:val="21"/>
          <w:szCs w:val="21"/>
        </w:rPr>
      </w:pPr>
      <w:r>
        <w:rPr>
          <w:rStyle w:val="25"/>
          <w:rFonts w:ascii="Times New Roman" w:hAnsi="Times New Roman" w:eastAsia="宋体" w:cs="Times New Roman"/>
          <w:color w:val="auto"/>
          <w:sz w:val="21"/>
          <w:szCs w:val="21"/>
        </w:rPr>
        <w:t>(1) 前期没有降水（1分），气温偏高（1分）；植被生长较差，根系固土作用弱（1分），物源更多；地表解冻回暖较快，裸露的沙土干燥疏松（1分），易被侵蚀。</w:t>
      </w:r>
    </w:p>
    <w:p>
      <w:pPr>
        <w:pStyle w:val="21"/>
        <w:spacing w:after="200" w:line="340" w:lineRule="atLeast"/>
        <w:ind w:firstLine="440"/>
        <w:rPr>
          <w:rStyle w:val="25"/>
          <w:rFonts w:ascii="Times New Roman" w:hAnsi="Times New Roman" w:eastAsia="宋体" w:cs="Times New Roman"/>
          <w:color w:val="auto"/>
          <w:sz w:val="21"/>
          <w:szCs w:val="21"/>
        </w:rPr>
      </w:pPr>
      <w:r>
        <w:rPr>
          <w:rStyle w:val="25"/>
          <w:rFonts w:ascii="Times New Roman" w:hAnsi="Times New Roman" w:eastAsia="宋体" w:cs="Times New Roman"/>
          <w:color w:val="auto"/>
          <w:sz w:val="21"/>
          <w:szCs w:val="21"/>
        </w:rPr>
        <w:t>(2) 冷锋系统（1分）。本次强沙尘暴出现在17:00—20:00（1分），该时段内气温出现骤降（1分），气压不断上升（1分）。</w:t>
      </w:r>
    </w:p>
    <w:p>
      <w:pPr>
        <w:pStyle w:val="21"/>
        <w:spacing w:after="200" w:line="340" w:lineRule="atLeast"/>
        <w:ind w:firstLine="440"/>
        <w:rPr>
          <w:rStyle w:val="10"/>
          <w:rFonts w:ascii="Times New Roman" w:hAnsi="Times New Roman" w:eastAsia="宋体" w:cs="Times New Roman"/>
          <w:color w:val="auto"/>
          <w:szCs w:val="21"/>
        </w:rPr>
      </w:pPr>
      <w:r>
        <w:rPr>
          <w:rStyle w:val="25"/>
          <w:rFonts w:ascii="Times New Roman" w:hAnsi="Times New Roman" w:eastAsia="宋体" w:cs="Times New Roman"/>
          <w:color w:val="auto"/>
          <w:sz w:val="21"/>
          <w:szCs w:val="21"/>
        </w:rPr>
        <w:t>(3) 气压系统先于锋面系统过境。（2分）该气压系统为低压（1分），在气温最高时（14:00）过境，增大了锋面两侧的气压梯度和温差（1分）；使风速骤增（1分），有利于将沙尘和干土粒侵蚀而离开地面（1分）；垂直方向气流上升更剧烈（1分），有利于沙尘和干土粒进入空气中（1分）。</w:t>
      </w:r>
      <w:r>
        <w:rPr>
          <w:rStyle w:val="25"/>
          <w:rFonts w:ascii="Times New Roman" w:hAnsi="Times New Roman" w:eastAsia="宋体" w:cs="Times New Roman"/>
          <w:color w:val="auto"/>
          <w:sz w:val="21"/>
          <w:szCs w:val="21"/>
        </w:rPr>
        <w:tab/>
      </w:r>
    </w:p>
    <w:p>
      <w:pPr>
        <w:pStyle w:val="22"/>
        <w:widowControl/>
        <w:adjustRightInd w:val="0"/>
        <w:snapToGrid w:val="0"/>
        <w:spacing w:after="200" w:line="340" w:lineRule="atLeast"/>
        <w:jc w:val="left"/>
        <w:textAlignment w:val="baseline"/>
        <w:rPr>
          <w:rStyle w:val="10"/>
          <w:rFonts w:eastAsia="宋体"/>
          <w:color w:val="auto"/>
          <w:sz w:val="21"/>
          <w:szCs w:val="21"/>
        </w:rPr>
      </w:pPr>
      <w:r>
        <w:rPr>
          <w:rStyle w:val="10"/>
          <w:rFonts w:eastAsia="宋体"/>
          <w:color w:val="auto"/>
          <w:sz w:val="21"/>
          <w:szCs w:val="21"/>
        </w:rPr>
        <w:t>17．（24分）</w:t>
      </w:r>
    </w:p>
    <w:p>
      <w:pPr>
        <w:pStyle w:val="22"/>
        <w:widowControl/>
        <w:adjustRightInd w:val="0"/>
        <w:snapToGrid w:val="0"/>
        <w:spacing w:after="200" w:line="340" w:lineRule="atLeast"/>
        <w:jc w:val="left"/>
        <w:textAlignment w:val="baseline"/>
        <w:rPr>
          <w:rStyle w:val="10"/>
          <w:rFonts w:eastAsia="宋体"/>
          <w:color w:val="auto"/>
          <w:sz w:val="21"/>
          <w:szCs w:val="21"/>
        </w:rPr>
      </w:pPr>
    </w:p>
    <w:p>
      <w:pPr>
        <w:pStyle w:val="22"/>
        <w:widowControl/>
        <w:adjustRightInd w:val="0"/>
        <w:snapToGrid w:val="0"/>
        <w:spacing w:after="200" w:line="340" w:lineRule="atLeast"/>
        <w:jc w:val="left"/>
        <w:textAlignment w:val="baseline"/>
        <w:rPr>
          <w:rStyle w:val="10"/>
          <w:rFonts w:eastAsia="宋体"/>
          <w:color w:val="auto"/>
          <w:sz w:val="21"/>
          <w:szCs w:val="21"/>
        </w:rPr>
      </w:pPr>
      <w:r>
        <w:rPr>
          <w:rStyle w:val="10"/>
          <w:rFonts w:eastAsia="宋体"/>
          <w:color w:val="auto"/>
          <w:sz w:val="21"/>
          <w:szCs w:val="21"/>
        </w:rPr>
        <w:t xml:space="preserve">18．（14分） </w:t>
      </w:r>
    </w:p>
    <w:p>
      <w:pPr>
        <w:pStyle w:val="21"/>
        <w:spacing w:after="200" w:line="340" w:lineRule="atLeast"/>
        <w:ind w:firstLine="420"/>
        <w:jc w:val="left"/>
        <w:textAlignment w:val="center"/>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(1) 青脆李树需3年才能挂果，而独活种下1年即可采挖，套种独活能保证青脆李树挂果前村民的经济收入(2分)；当地山地较多，耕地稀少，采用套种可以节约土地(2分)。</w:t>
      </w:r>
    </w:p>
    <w:p>
      <w:pPr>
        <w:pStyle w:val="21"/>
        <w:spacing w:after="200" w:line="340" w:lineRule="atLeast"/>
        <w:ind w:firstLine="420"/>
        <w:jc w:val="left"/>
        <w:textAlignment w:val="center"/>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(2) 独活叶片茂盛，会增加地表湿度，从而有利于病虫害的滋生(2分)；独活种植密度大，根系发达，会与青脆李树争抢水肥(2分)；独活采挖过程中会破坏青脆李树根系，从而影响青脆李树生长(2分)。</w:t>
      </w:r>
    </w:p>
    <w:p>
      <w:pPr>
        <w:pStyle w:val="21"/>
        <w:spacing w:after="200" w:line="340" w:lineRule="atLeast"/>
        <w:ind w:firstLine="420"/>
        <w:jc w:val="left"/>
        <w:textAlignment w:val="center"/>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(3) 疏果：减少挂果数量和养分消耗，提高单果重量和品质。(1分)整枝：减少多余树枝的养分消耗，增强果树的抗病能力，减少病虫害(1分)；增加光照，提高果实品质(1分)。</w:t>
      </w:r>
    </w:p>
    <w:p>
      <w:pPr>
        <w:pStyle w:val="21"/>
        <w:spacing w:after="200" w:line="340" w:lineRule="atLeast"/>
        <w:ind w:firstLine="420"/>
        <w:jc w:val="left"/>
        <w:textAlignment w:val="center"/>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(4) 山区应充分利用独特的自然条件发展特色农业，种植特色农产品(2分)；政府应加强对山区农业资金和技术方面的支持(2分)；合理利用土地，提高土地利用率(2分)</w:t>
      </w:r>
    </w:p>
    <w:p>
      <w:pPr>
        <w:pStyle w:val="22"/>
        <w:widowControl/>
        <w:adjustRightInd w:val="0"/>
        <w:snapToGrid w:val="0"/>
        <w:spacing w:after="200" w:line="340" w:lineRule="atLeast"/>
        <w:jc w:val="left"/>
        <w:textAlignment w:val="baseline"/>
        <w:rPr>
          <w:rStyle w:val="10"/>
          <w:rFonts w:eastAsia="宋体"/>
          <w:color w:val="auto"/>
          <w:sz w:val="21"/>
          <w:szCs w:val="21"/>
        </w:rPr>
      </w:pPr>
      <w:r>
        <w:rPr>
          <w:rStyle w:val="10"/>
          <w:rFonts w:eastAsia="宋体"/>
          <w:color w:val="auto"/>
          <w:sz w:val="21"/>
          <w:szCs w:val="21"/>
        </w:rPr>
        <w:t>19．（8分）</w:t>
      </w:r>
    </w:p>
    <w:p>
      <w:pPr>
        <w:pStyle w:val="21"/>
        <w:spacing w:after="200" w:line="340" w:lineRule="atLeast"/>
        <w:ind w:firstLine="420"/>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(1) 距旅游地较近：交通便利；马尔代夫旅游资源量多质高(或旅游资源丰富)</w:t>
      </w:r>
      <w:r>
        <w:rPr>
          <w:rStyle w:val="10"/>
          <w:rFonts w:hint="eastAsia" w:ascii="Times New Roman" w:hAnsi="Times New Roman" w:eastAsia="宋体" w:cs="Times New Roman"/>
          <w:color w:val="auto"/>
          <w:szCs w:val="21"/>
        </w:rPr>
        <w:t>；</w:t>
      </w:r>
      <w:r>
        <w:rPr>
          <w:rStyle w:val="10"/>
          <w:rFonts w:ascii="Times New Roman" w:hAnsi="Times New Roman" w:eastAsia="宋体" w:cs="Times New Roman"/>
          <w:color w:val="auto"/>
          <w:szCs w:val="21"/>
        </w:rPr>
        <w:t>热带海岛旅游特色突出等。</w:t>
      </w:r>
    </w:p>
    <w:p>
      <w:pPr>
        <w:pStyle w:val="21"/>
        <w:spacing w:after="200" w:line="340" w:lineRule="atLeast"/>
        <w:ind w:firstLine="420"/>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(2) 合理设计和布局旅游资源；加大宣传力度，积极开拓旅游市场：改善基础设施和提高服务水平(或提高旅游接待能力)：发挥海洋优势，突出海岛特色：充分开发各种旅游产品，创出自己的品牌(或积极发展旅游相关产业)：注重环境保护，开展可持续的海岛旅游。</w:t>
      </w:r>
    </w:p>
    <w:p>
      <w:pPr>
        <w:pStyle w:val="22"/>
        <w:widowControl/>
        <w:adjustRightInd w:val="0"/>
        <w:snapToGrid w:val="0"/>
        <w:spacing w:after="200" w:line="340" w:lineRule="atLeast"/>
        <w:jc w:val="left"/>
        <w:textAlignment w:val="baseline"/>
        <w:rPr>
          <w:rStyle w:val="10"/>
          <w:rFonts w:eastAsia="宋体"/>
          <w:color w:val="auto"/>
          <w:sz w:val="21"/>
          <w:szCs w:val="21"/>
        </w:rPr>
      </w:pPr>
      <w:r>
        <w:rPr>
          <w:rStyle w:val="10"/>
          <w:rFonts w:eastAsia="宋体"/>
          <w:color w:val="auto"/>
          <w:sz w:val="21"/>
          <w:szCs w:val="21"/>
        </w:rPr>
        <w:t>20．（8分）</w:t>
      </w:r>
    </w:p>
    <w:p>
      <w:pPr>
        <w:pStyle w:val="21"/>
        <w:spacing w:after="200" w:line="340" w:lineRule="atLeast"/>
        <w:ind w:firstLine="420"/>
        <w:jc w:val="left"/>
        <w:textAlignment w:val="center"/>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(1) 各类功能区昼间达标率均高于夜间达标率；工业区达标率好于其他类功能区；疗养区、高级别墅区达标率低。（4分）</w:t>
      </w:r>
    </w:p>
    <w:p>
      <w:pPr>
        <w:pStyle w:val="21"/>
        <w:spacing w:after="200" w:line="340" w:lineRule="atLeast"/>
        <w:ind w:firstLine="420"/>
        <w:jc w:val="left"/>
        <w:textAlignment w:val="center"/>
        <w:rPr>
          <w:rStyle w:val="10"/>
          <w:rFonts w:ascii="Times New Roman" w:hAnsi="Times New Roman" w:eastAsia="宋体" w:cs="Times New Roman"/>
          <w:color w:val="auto"/>
          <w:szCs w:val="21"/>
        </w:rPr>
      </w:pPr>
      <w:r>
        <w:rPr>
          <w:rStyle w:val="10"/>
          <w:rFonts w:ascii="Times New Roman" w:hAnsi="Times New Roman" w:eastAsia="宋体" w:cs="Times New Roman"/>
          <w:color w:val="auto"/>
          <w:szCs w:val="21"/>
        </w:rPr>
        <w:t>(2) 控制噪声污染源；加强（提高）管理力度；增加绿地面积；提高人们自觉降低噪声污染的意识。（6分）</w:t>
      </w:r>
    </w:p>
    <w:p>
      <w:pPr>
        <w:pStyle w:val="21"/>
        <w:spacing w:after="200" w:line="240" w:lineRule="atLeast"/>
        <w:rPr>
          <w:rStyle w:val="10"/>
          <w:rFonts w:ascii="Times New Roman" w:hAnsi="Times New Roman" w:eastAsia="宋体" w:cs="Times New Roman"/>
          <w:color w:val="auto"/>
          <w:szCs w:val="21"/>
        </w:rPr>
      </w:pPr>
    </w:p>
    <w:sectPr>
      <w:headerReference r:id="rId5" w:type="first"/>
      <w:headerReference r:id="rId3" w:type="default"/>
      <w:headerReference r:id="rId4" w:type="even"/>
      <w:footerReference r:id="rId6" w:type="even"/>
      <w:pgSz w:w="11906" w:h="16838"/>
      <w:pgMar w:top="1440" w:right="1701" w:bottom="1440" w:left="1701" w:header="851" w:footer="992" w:gutter="0"/>
      <w:pgNumType w:fmt="numberInDash" w:chapSep="em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FZSSK--GBK1-0">
    <w:altName w:val="宋体"/>
    <w:panose1 w:val="02000000000000000000"/>
    <w:charset w:val="86"/>
    <w:family w:val="roman"/>
    <w:pitch w:val="default"/>
    <w:sig w:usb0="00000000" w:usb1="00000000" w:usb2="00082016" w:usb3="00000000" w:csb0="00040001" w:csb1="00000000"/>
  </w:font>
  <w:font w:name="KTJ+ZFbFso-11">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Vrinda">
    <w:panose1 w:val="020B0502040204020203"/>
    <w:charset w:val="00"/>
    <w:family w:val="swiss"/>
    <w:pitch w:val="default"/>
    <w:sig w:usb0="00010003" w:usb1="00000000" w:usb2="00000000" w:usb3="00000000" w:csb0="00000001" w:csb1="0000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2"/>
      </w:rPr>
    </w:pPr>
    <w:r>
      <w:rPr>
        <w:rStyle w:val="12"/>
      </w:rPr>
      <w:fldChar w:fldCharType="begin"/>
    </w:r>
    <w:r>
      <w:rPr>
        <w:rStyle w:val="12"/>
      </w:rPr>
      <w:instrText xml:space="preserve">PAGE  </w:instrText>
    </w:r>
    <w:r>
      <w:rPr>
        <w:rStyle w:val="12"/>
      </w:rPr>
      <w:fldChar w:fldCharType="separate"/>
    </w:r>
    <w:r>
      <w:rPr>
        <w:rStyle w:val="12"/>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7" o:spid="_x0000_s2049" o:spt="75" type="#_x0000_t75" style="position:absolute;left:0pt;height:49.7pt;width:415.1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pict>
        <v:shape id="WordPictureWatermark10292406" o:spid="_x0000_s2052" o:spt="75" type="#_x0000_t75" style="position:absolute;left:0pt;height:49.7pt;width:415.1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head"/>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B996057"/>
    <w:multiLevelType w:val="multilevel"/>
    <w:tmpl w:val="7B996057"/>
    <w:lvl w:ilvl="0" w:tentative="0">
      <w:start w:val="1"/>
      <w:numFmt w:val="japaneseCounting"/>
      <w:lvlText w:val="%1、"/>
      <w:lvlJc w:val="left"/>
      <w:pPr>
        <w:ind w:left="435" w:hanging="435"/>
      </w:pPr>
      <w:rPr>
        <w:rFonts w:hint="default" w:ascii="黑体" w:hAnsi="黑体" w:eastAsia="黑体"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B996058"/>
    <w:multiLevelType w:val="multilevel"/>
    <w:tmpl w:val="7B996058"/>
    <w:lvl w:ilvl="0" w:tentative="0">
      <w:start w:val="1"/>
      <w:numFmt w:val="decimal"/>
      <w:lvlText w:val="%1．"/>
      <w:lvlJc w:val="left"/>
      <w:pPr>
        <w:ind w:left="468" w:hanging="360"/>
      </w:pPr>
      <w:rPr>
        <w:rFonts w:hint="default" w:ascii="Times New Roman" w:hAnsi="Times New Roman" w:eastAsia="宋体" w:cs="Times New Roman"/>
      </w:rPr>
    </w:lvl>
    <w:lvl w:ilvl="1" w:tentative="0">
      <w:start w:val="1"/>
      <w:numFmt w:val="lowerLetter"/>
      <w:lvlText w:val="%2)"/>
      <w:lvlJc w:val="left"/>
      <w:pPr>
        <w:ind w:left="948" w:hanging="420"/>
      </w:pPr>
    </w:lvl>
    <w:lvl w:ilvl="2" w:tentative="0">
      <w:start w:val="1"/>
      <w:numFmt w:val="lowerRoman"/>
      <w:lvlText w:val="%3."/>
      <w:lvlJc w:val="right"/>
      <w:pPr>
        <w:ind w:left="1368" w:hanging="420"/>
      </w:pPr>
    </w:lvl>
    <w:lvl w:ilvl="3" w:tentative="0">
      <w:start w:val="1"/>
      <w:numFmt w:val="decimal"/>
      <w:lvlText w:val="%4."/>
      <w:lvlJc w:val="left"/>
      <w:pPr>
        <w:ind w:left="1788" w:hanging="420"/>
      </w:pPr>
    </w:lvl>
    <w:lvl w:ilvl="4" w:tentative="0">
      <w:start w:val="1"/>
      <w:numFmt w:val="lowerLetter"/>
      <w:lvlText w:val="%5)"/>
      <w:lvlJc w:val="left"/>
      <w:pPr>
        <w:ind w:left="2208" w:hanging="420"/>
      </w:pPr>
    </w:lvl>
    <w:lvl w:ilvl="5" w:tentative="0">
      <w:start w:val="1"/>
      <w:numFmt w:val="lowerRoman"/>
      <w:lvlText w:val="%6."/>
      <w:lvlJc w:val="right"/>
      <w:pPr>
        <w:ind w:left="2628" w:hanging="420"/>
      </w:pPr>
    </w:lvl>
    <w:lvl w:ilvl="6" w:tentative="0">
      <w:start w:val="1"/>
      <w:numFmt w:val="decimal"/>
      <w:lvlText w:val="%7."/>
      <w:lvlJc w:val="left"/>
      <w:pPr>
        <w:ind w:left="3048" w:hanging="420"/>
      </w:pPr>
    </w:lvl>
    <w:lvl w:ilvl="7" w:tentative="0">
      <w:start w:val="1"/>
      <w:numFmt w:val="lowerLetter"/>
      <w:lvlText w:val="%8)"/>
      <w:lvlJc w:val="left"/>
      <w:pPr>
        <w:ind w:left="3468" w:hanging="420"/>
      </w:pPr>
    </w:lvl>
    <w:lvl w:ilvl="8" w:tentative="0">
      <w:start w:val="1"/>
      <w:numFmt w:val="lowerRoman"/>
      <w:lvlText w:val="%9."/>
      <w:lvlJc w:val="right"/>
      <w:pPr>
        <w:ind w:left="3888" w:hanging="420"/>
      </w:pPr>
    </w:lvl>
  </w:abstractNum>
  <w:abstractNum w:abstractNumId="2">
    <w:nsid w:val="7B996059"/>
    <w:multiLevelType w:val="multilevel"/>
    <w:tmpl w:val="7B996059"/>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7B99605A"/>
    <w:multiLevelType w:val="multilevel"/>
    <w:tmpl w:val="7B99605A"/>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7B99605B"/>
    <w:multiLevelType w:val="multilevel"/>
    <w:tmpl w:val="7B99605B"/>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7B99605C"/>
    <w:multiLevelType w:val="multilevel"/>
    <w:tmpl w:val="7B99605C"/>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B99605D"/>
    <w:multiLevelType w:val="multilevel"/>
    <w:tmpl w:val="7B99605D"/>
    <w:lvl w:ilvl="0" w:tentative="0">
      <w:start w:val="1"/>
      <w:numFmt w:val="decimal"/>
      <w:lvlText w:val="(%1)"/>
      <w:lvlJc w:val="left"/>
      <w:pPr>
        <w:ind w:left="780" w:hanging="360"/>
      </w:pPr>
      <w:rPr>
        <w:rFonts w:hint="default" w:ascii="Times New Roman" w:hAnsi="Times New Roman"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000000"/>
    <w:rsid w:val="15B3100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7"/>
    <w:qFormat/>
    <w:uiPriority w:val="9"/>
    <w:pPr>
      <w:keepNext/>
      <w:keepLines/>
      <w:widowControl/>
      <w:spacing w:before="480" w:line="276" w:lineRule="auto"/>
      <w:jc w:val="left"/>
      <w:outlineLvl w:val="0"/>
    </w:pPr>
    <w:rPr>
      <w:rFonts w:ascii="Cambria" w:hAnsi="Cambria" w:eastAsia="宋体" w:cs="Times New Roman"/>
      <w:b/>
      <w:bCs/>
      <w:color w:val="365F91"/>
      <w:kern w:val="0"/>
      <w:sz w:val="28"/>
      <w:szCs w:val="28"/>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Plain Text"/>
    <w:basedOn w:val="1"/>
    <w:uiPriority w:val="0"/>
    <w:rPr>
      <w:rFonts w:ascii="宋体" w:hAnsi="Courier New" w:cs="Courier New"/>
      <w:szCs w:val="21"/>
    </w:rPr>
  </w:style>
  <w:style w:type="paragraph" w:styleId="4">
    <w:name w:val="Balloon Text"/>
    <w:basedOn w:val="1"/>
    <w:link w:val="16"/>
    <w:semiHidden/>
    <w:unhideWhenUsed/>
    <w:uiPriority w:val="99"/>
    <w:rPr>
      <w:sz w:val="18"/>
      <w:szCs w:val="18"/>
    </w:rPr>
  </w:style>
  <w:style w:type="paragraph" w:styleId="5">
    <w:name w:val="footer"/>
    <w:basedOn w:val="1"/>
    <w:link w:val="15"/>
    <w:unhideWhenUsed/>
    <w:qFormat/>
    <w:uiPriority w:val="99"/>
    <w:pPr>
      <w:tabs>
        <w:tab w:val="center" w:pos="4153"/>
        <w:tab w:val="right" w:pos="8306"/>
      </w:tabs>
      <w:snapToGrid w:val="0"/>
      <w:jc w:val="left"/>
    </w:pPr>
    <w:rPr>
      <w:sz w:val="18"/>
      <w:szCs w:val="18"/>
    </w:rPr>
  </w:style>
  <w:style w:type="paragraph" w:styleId="6">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bCs/>
    </w:rPr>
  </w:style>
  <w:style w:type="character" w:styleId="12">
    <w:name w:val="page number"/>
    <w:basedOn w:val="10"/>
    <w:uiPriority w:val="0"/>
  </w:style>
  <w:style w:type="character" w:styleId="13">
    <w:name w:val="Hyperlink"/>
    <w:basedOn w:val="10"/>
    <w:unhideWhenUsed/>
    <w:uiPriority w:val="99"/>
    <w:rPr>
      <w:color w:val="0000FF"/>
      <w:u w:val="single"/>
    </w:rPr>
  </w:style>
  <w:style w:type="character" w:customStyle="1" w:styleId="14">
    <w:name w:val="页眉 Char"/>
    <w:basedOn w:val="10"/>
    <w:link w:val="6"/>
    <w:qFormat/>
    <w:uiPriority w:val="99"/>
    <w:rPr>
      <w:sz w:val="18"/>
      <w:szCs w:val="18"/>
    </w:rPr>
  </w:style>
  <w:style w:type="character" w:customStyle="1" w:styleId="15">
    <w:name w:val="页脚 Char"/>
    <w:basedOn w:val="10"/>
    <w:link w:val="5"/>
    <w:uiPriority w:val="99"/>
    <w:rPr>
      <w:sz w:val="18"/>
      <w:szCs w:val="18"/>
    </w:rPr>
  </w:style>
  <w:style w:type="character" w:customStyle="1" w:styleId="16">
    <w:name w:val="批注框文本 Char"/>
    <w:basedOn w:val="10"/>
    <w:link w:val="4"/>
    <w:semiHidden/>
    <w:uiPriority w:val="99"/>
    <w:rPr>
      <w:sz w:val="18"/>
      <w:szCs w:val="18"/>
    </w:rPr>
  </w:style>
  <w:style w:type="character" w:customStyle="1" w:styleId="17">
    <w:name w:val="标题 1 Char"/>
    <w:basedOn w:val="10"/>
    <w:link w:val="2"/>
    <w:uiPriority w:val="9"/>
    <w:rPr>
      <w:rFonts w:ascii="Cambria" w:hAnsi="Cambria" w:eastAsia="宋体" w:cs="Times New Roman"/>
      <w:b/>
      <w:bCs/>
      <w:color w:val="365F91"/>
      <w:kern w:val="0"/>
      <w:sz w:val="28"/>
      <w:szCs w:val="28"/>
    </w:rPr>
  </w:style>
  <w:style w:type="paragraph" w:customStyle="1" w:styleId="18">
    <w:name w:val="MTDisplayEquation"/>
    <w:basedOn w:val="1"/>
    <w:next w:val="1"/>
    <w:uiPriority w:val="0"/>
    <w:pPr>
      <w:tabs>
        <w:tab w:val="center" w:pos="4820"/>
        <w:tab w:val="right" w:pos="9640"/>
      </w:tabs>
    </w:pPr>
    <w:rPr>
      <w:rFonts w:ascii="Times New Roman" w:hAnsi="Times New Roman"/>
      <w:szCs w:val="24"/>
    </w:rPr>
  </w:style>
  <w:style w:type="paragraph" w:customStyle="1" w:styleId="19">
    <w:name w:val="_Style 17"/>
    <w:basedOn w:val="1"/>
    <w:uiPriority w:val="0"/>
    <w:pPr>
      <w:widowControl/>
      <w:spacing w:line="300" w:lineRule="auto"/>
      <w:ind w:firstLine="200"/>
    </w:pPr>
    <w:rPr>
      <w:rFonts w:ascii="Verdana" w:hAnsi="Verdana"/>
      <w:kern w:val="0"/>
      <w:szCs w:val="20"/>
      <w:lang w:eastAsia="en-US"/>
    </w:rPr>
  </w:style>
  <w:style w:type="character" w:customStyle="1" w:styleId="20">
    <w:name w:val="p141"/>
    <w:basedOn w:val="10"/>
    <w:uiPriority w:val="0"/>
    <w:rPr>
      <w:sz w:val="24"/>
      <w:szCs w:val="24"/>
    </w:rPr>
  </w:style>
  <w:style w:type="paragraph" w:customStyle="1" w:styleId="2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Normal (Web)"/>
    <w:basedOn w:val="21"/>
    <w:unhideWhenUsed/>
    <w:qFormat/>
    <w:uiPriority w:val="99"/>
    <w:rPr>
      <w:rFonts w:ascii="Times New Roman" w:hAnsi="Times New Roman" w:cs="Times New Roman"/>
      <w:sz w:val="24"/>
      <w:szCs w:val="24"/>
    </w:rPr>
  </w:style>
  <w:style w:type="table" w:customStyle="1" w:styleId="23">
    <w:name w:val="Table Grid"/>
    <w:basedOn w:val="8"/>
    <w:qFormat/>
    <w:uiPriority w:val="3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List Paragraph"/>
    <w:basedOn w:val="21"/>
    <w:qFormat/>
    <w:uiPriority w:val="99"/>
    <w:pPr>
      <w:ind w:firstLine="420"/>
    </w:pPr>
  </w:style>
  <w:style w:type="character" w:customStyle="1" w:styleId="25">
    <w:name w:val="fontstyle01"/>
    <w:basedOn w:val="10"/>
    <w:qFormat/>
    <w:uiPriority w:val="0"/>
    <w:rPr>
      <w:rFonts w:hint="default" w:ascii="FZSSK--GBK1-0" w:hAnsi="FZSSK--GBK1-0"/>
      <w:color w:val="231F20"/>
      <w:sz w:val="22"/>
      <w:szCs w:val="22"/>
    </w:rPr>
  </w:style>
  <w:style w:type="character" w:customStyle="1" w:styleId="26">
    <w:name w:val="fontstyle11"/>
    <w:basedOn w:val="10"/>
    <w:qFormat/>
    <w:uiPriority w:val="0"/>
    <w:rPr>
      <w:rFonts w:hint="default" w:ascii="KTJ+ZFbFso-11" w:hAnsi="KTJ+ZFbFso-11"/>
      <w:color w:val="231F2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microsoft.com/office/2007/relationships/hdphoto" Target="media/image13.wdp"/><Relationship Id="rId18" Type="http://schemas.openxmlformats.org/officeDocument/2006/relationships/image" Target="media/image12.png"/><Relationship Id="rId17" Type="http://schemas.microsoft.com/office/2007/relationships/hdphoto" Target="media/image11.wdp"/><Relationship Id="rId16" Type="http://schemas.openxmlformats.org/officeDocument/2006/relationships/image" Target="media/image10.png"/><Relationship Id="rId15" Type="http://schemas.openxmlformats.org/officeDocument/2006/relationships/image" Target="media/image9.png"/><Relationship Id="rId14" Type="http://schemas.microsoft.com/office/2007/relationships/hdphoto" Target="media/image8.wdp"/><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Words>
  <Characters>12</Characters>
  <Lines>1</Lines>
  <Paragraphs>1</Paragraphs>
  <TotalTime>9</TotalTime>
  <ScaleCrop>false</ScaleCrop>
  <LinksUpToDate>false</LinksUpToDate>
  <CharactersWithSpaces>13</CharactersWithSpaces>
  <HyperlinkBase>http://www.ks5u.com</HyperlinkBase>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2009-03-27T08:43:00Z</dcterms:created>
  <dc:creator>Administrator</dc:creator>
  <cp:lastModifiedBy>Administrator</cp:lastModifiedBy>
  <dcterms:modified xsi:type="dcterms:W3CDTF">2021-07-27T08:28:02Z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KSOProductBuildVer">
    <vt:lpwstr>2052-11.1.0.10578</vt:lpwstr>
  </property>
  <property fmtid="{D5CDD505-2E9C-101B-9397-08002B2CF9AE}" pid="5" name="ICV">
    <vt:lpwstr>110B3E5BA7D24317B6674669AE0A6FCC</vt:lpwstr>
  </property>
</Properties>
</file>