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2020～</w:t>
      </w:r>
      <w:bookmarkStart w:id="0" w:name="_GoBack"/>
      <w:bookmarkEnd w:id="0"/>
      <w:r>
        <w:rPr>
          <w:rFonts w:ascii="宋体" w:hAnsi="宋体"/>
          <w:b/>
          <w:bCs/>
          <w:sz w:val="32"/>
          <w:szCs w:val="32"/>
        </w:rPr>
        <w:t>2021学年度石家庄市高二第二学期期末考试</w:t>
      </w:r>
    </w:p>
    <w:p>
      <w:pPr>
        <w:widowControl/>
        <w:spacing w:line="288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思想政治</w:t>
      </w:r>
    </w:p>
    <w:p>
      <w:pPr>
        <w:widowControl/>
        <w:spacing w:line="288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本试卷满分1OO分，考试用时75分钟。</w:t>
      </w:r>
    </w:p>
    <w:p>
      <w:pPr>
        <w:widowControl/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注意事项：</w:t>
      </w:r>
    </w:p>
    <w:p>
      <w:pPr>
        <w:widowControl/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1．答题前，考生务必将自己的姓名、准考证号、座位号填写在答题卡上。</w:t>
      </w:r>
    </w:p>
    <w:p>
      <w:pPr>
        <w:widowControl/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2．回答选择题时，选出每小题答案后，用铅笔把答题卡上对应题目的答案标号涂</w:t>
      </w:r>
    </w:p>
    <w:p>
      <w:pPr>
        <w:widowControl/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黑。如需改动，用橡皮擦干净后，再选涂其他答案标号。回答非选择题时，将答案写在</w:t>
      </w:r>
    </w:p>
    <w:p>
      <w:pPr>
        <w:widowControl/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答题卡上。写在本试卷上无效。</w:t>
      </w:r>
    </w:p>
    <w:p>
      <w:pPr>
        <w:widowControl/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3．考试结束后，将本试卷和答题卡一并交回。</w:t>
      </w:r>
    </w:p>
    <w:p>
      <w:pPr>
        <w:widowControl/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4．本试卷主要考试内容：必修1第1-2单元，必修3。</w:t>
      </w:r>
    </w:p>
    <w:p>
      <w:pPr>
        <w:widowControl/>
        <w:spacing w:line="288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一、选择题：本大题共</w:t>
      </w:r>
      <w:r>
        <w:rPr>
          <w:rFonts w:ascii="宋体" w:hAnsi="宋体"/>
          <w:b/>
          <w:bCs/>
          <w:sz w:val="24"/>
        </w:rPr>
        <w:t>15小题，每小题3分，共45分。在每小题给出的四个选项中，只有一项是符合题目要求的。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1．2021年以来，人民币汇率有升有降，双向浮动，在合理均衡水平上保持了基本稳定。目前，我国外汇市场自主平衡，人民币汇率由市场决定，汇率预期平稳。人民币汇率在合理均衡水平上保持基本稳定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①有利于促进我国经济持续健康发展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②降低了我国企业对外投资的资金压力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③能促进世界金融秩序稳定，实现共赢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④能增强我国商品竞争力，刺激我国商品出口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A．①②B．①③C．②④D．③④</w:t>
      </w:r>
    </w:p>
    <w:p>
      <w:pPr>
        <w:widowControl/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2．5月19日召开的非洲猪瘟防控和生猪生产座谈会指出，2021年以来，全国生猪生产加快恢</w:t>
      </w:r>
      <w:r>
        <w:rPr>
          <w:rFonts w:hint="eastAsia" w:ascii="宋体" w:hAnsi="宋体"/>
          <w:szCs w:val="21"/>
        </w:rPr>
        <w:t>复，今后一个时期猪肉供应总体宽松。不考虑其他因素，下列能正确反映材料信息的图示（</w:t>
      </w:r>
      <w:r>
        <w:rPr>
          <w:rFonts w:ascii="宋体" w:hAnsi="宋体"/>
          <w:szCs w:val="21"/>
        </w:rPr>
        <w:t>S、D分别表示供给曲线和需求曲线）是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>.</w:t>
      </w:r>
      <w:r>
        <w:t xml:space="preserve"> </w:t>
      </w:r>
      <w:r>
        <w:drawing>
          <wp:inline distT="0" distB="0" distL="0" distR="0">
            <wp:extent cx="2033270" cy="1502410"/>
            <wp:effectExtent l="0" t="0" r="508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4145" cy="151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B</w:t>
      </w:r>
      <w:r>
        <w:rPr>
          <w:rFonts w:ascii="宋体" w:hAnsi="宋体"/>
          <w:szCs w:val="21"/>
        </w:rPr>
        <w:t>.</w:t>
      </w:r>
      <w:r>
        <w:t xml:space="preserve"> </w:t>
      </w:r>
      <w:r>
        <w:drawing>
          <wp:inline distT="0" distB="0" distL="0" distR="0">
            <wp:extent cx="2194560" cy="15849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6553" cy="160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</w:t>
      </w:r>
      <w:r>
        <w:rPr>
          <w:rFonts w:ascii="宋体" w:hAnsi="宋体"/>
          <w:szCs w:val="21"/>
        </w:rPr>
        <w:t>.</w:t>
      </w:r>
      <w:r>
        <w:t xml:space="preserve"> </w:t>
      </w:r>
      <w:r>
        <w:drawing>
          <wp:inline distT="0" distB="0" distL="0" distR="0">
            <wp:extent cx="2202180" cy="1674495"/>
            <wp:effectExtent l="0" t="0" r="762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787" cy="169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hint="eastAsia" w:ascii="宋体" w:hAnsi="宋体"/>
          <w:szCs w:val="21"/>
        </w:rPr>
        <w:t>D</w:t>
      </w:r>
      <w:r>
        <w:rPr>
          <w:rFonts w:ascii="宋体" w:hAnsi="宋体"/>
          <w:szCs w:val="21"/>
        </w:rPr>
        <w:t>.</w:t>
      </w:r>
      <w:r>
        <w:t xml:space="preserve"> </w:t>
      </w:r>
      <w:r>
        <w:drawing>
          <wp:inline distT="0" distB="0" distL="0" distR="0">
            <wp:extent cx="1979295" cy="1573530"/>
            <wp:effectExtent l="0" t="0" r="1905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7596" cy="159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3．某商品的销售者在市场上大打价格战。相关销售者称：“你打九折，消费者还没有反应过来，</w:t>
      </w:r>
      <w:r>
        <w:rPr>
          <w:rFonts w:hint="eastAsia" w:ascii="宋体" w:hAnsi="宋体"/>
          <w:szCs w:val="21"/>
        </w:rPr>
        <w:t>竞争对手又挂上了八折清仓的牌子。”这种价格战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①使购买者竞相购买，销售者获得额外收益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t>②会导致消费者持币待购，导致货多不值钱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③旨在激发消费潜力，发挥消费的基础性作用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④可能是由供给增加、需求减少引起的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A．①③B．①④C．②③D．②④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4．2021年3月17日，银保监会等五部委联合发布《关于进一步规范大学生互联网消费贷款监</w:t>
      </w:r>
      <w:r>
        <w:rPr>
          <w:rFonts w:hint="eastAsia" w:ascii="宋体" w:hAnsi="宋体"/>
          <w:szCs w:val="21"/>
        </w:rPr>
        <w:t>督管理工作的通知》，明确小额贷款公司不得向大学生发放互联网消费贷款，非持牌机构不得为大学生提供信贷服务。发布这一通知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①意在引导大学生培养正确、理性、科学的金融消费观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②表明贷款消费与我国的基本国情不符，应限制消费贷款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③能保护大学生的正当权益，稳定校园信贷市场秩序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④是因为网上消费贷款办理方便、无抵押，风险性大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A．①③B．①④C．②③D．②④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．2021年6月3日，风云四号气象卫星B星在西昌卫星发射中心成功发射。中国科学院上海技物所承担了卫星全部主载荷的研制工作，这些载荷在天气预报、气候预测以及环境和灾害监测中发挥重要作用，进一步提高了我国天气预报准确率和精细化水平。风云四号B星能为有关客户提供更精准、更细化的气象服务，这表明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①生产决定消费的质量和水平②生产能为消费创造动力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③消费是社会生产的最终目的④科技是生产力的集中体现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A．①②B．①③C．②④D．③④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6．国务院国资委指出，我们支持国有企业和民营企业兼并重组，也同样支持中央企业和中央企业之间兼并重组，支持巾央企业和地方国有企业兼并重组。国家支持国有企业和不同性质的企业兼并重组的目的是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①提升产业的集中度，增强国有企业的控制力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②实现经营权与所有权分离，提高经济效益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③提高企业的风险意识，提升企业的创新能力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④优势互补，加强我国国有企业的市场竞争力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A．①②B．①④C．②③D．③④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7．中国证监会认定*ST斯太2014年至2016年年度报告的财务数据存在虚假记载。2021年6月2日，复牌的*ST斯太(000760．SZ)被深交所强制退市，公司股票于2021年6月10日起进入退市整理期交易，4万多名股东被拖累。由此可见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①退市公司负有退还股东本金的义务②投资有风险，入市需谨慎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③企业是否诚信经营关系到企业成败④国家政策影响股票的价格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A．①②B．①④C．②③D．③④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82021年5月，教育部部署在大中小学思政课中加强以党史教育为重点的“四史”教育。</w:t>
      </w:r>
      <w:r>
        <w:rPr>
          <w:rFonts w:hint="eastAsia" w:ascii="宋体" w:hAnsi="宋体"/>
          <w:szCs w:val="21"/>
        </w:rPr>
        <w:t>某</w:t>
      </w:r>
      <w:r>
        <w:rPr>
          <w:rFonts w:ascii="宋体" w:hAnsi="宋体"/>
          <w:szCs w:val="21"/>
        </w:rPr>
        <w:t>校</w:t>
      </w:r>
      <w:r>
        <w:rPr>
          <w:rFonts w:hint="eastAsia" w:ascii="宋体" w:hAnsi="宋体"/>
          <w:szCs w:val="21"/>
        </w:rPr>
        <w:t>组织学生观看红色影片。组织同学们观看红色影片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①是培养健全人格、促进全面发展的根本途径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②是促进中华优秀传统文化创新性发展的需要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③可以丰富学生的精神世界，增强其精神力量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④有助于传承红色基因，引导中小学生树立正确的世界观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A．①②B．①③C．②④D．③④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9．音乐是一种国际化的语言，但每一种音乐都有它独特的语境和表示。中国音乐有几千年的历</w:t>
      </w:r>
      <w:r>
        <w:rPr>
          <w:rFonts w:hint="eastAsia" w:ascii="宋体" w:hAnsi="宋体"/>
          <w:szCs w:val="21"/>
        </w:rPr>
        <w:t>史积淀，有非常深刻的民族音乐根基和烙印。坚持中国特色是中国音乐发展的重要生命线，一旦失去中国特色，中国音乐就会失去价值。这启示我们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①文化创新要善于从优秀传统文化中寻找灵感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②要在历史积淀中寻找民族音乐的发展之路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③要博采众长，创新民族音乐的表达形式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④要坚持各民族文化一律平等的原则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A．①②B．①④C．②③D．③④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．舞台小天地，天地大舞台。据不完全统计，我国有三百六十多种戏曲，数以万计的传统剧目，如京剧、昆剧、越剧、豫剧、黄梅戏、评剧、粤剧、庐剧、徽剧等。不同的戏剧既有共性特征，又带有鲜明的地方特色和民族特色。这说明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A．中华文化源远流长，其内涵因时而变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B．地理环境对戏剧的艺术风格具有决定作用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C．中华文化博大精深，具有明显的区域性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D．各民族文化都是中华文化的瑰宝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．《秦风·无衣》是《诗经》中最为著名的爱国主义诗篇，它产生于秦地，是秦人抗击西戎入侵者的军中战歌。在这种反侵略的战争中，泰国百姓表现出英勇无畏的尚武精神，创造出了这首充满爱国主义激情的慷慨战歌。这说明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①文化是一种社会精神力量，是引领民族前行的旗帜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②一定的政治和经济活动是文化传承与创新的前提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③文化是社会实践的产物，是一定时代的精神表达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④爱国主义精神一脉相承，是民族复兴的精神支撑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A．①③B．①④C．②③D．②④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．在首套英文版“中华优秀传统文化传承系列”丛书中，编者总能恰如其分地在微妙的中西方语境中找到平衡点，如《清明上河图》与《蒙娜丽莎》、“覆水难收”与英文谚语“无须为打翻的牛奶哭泣”……让人在会心一笑之后又回味无穷。该套丛书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①旨在使各民族人民认同中国的传统价值观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②为我们了解世界文化开启了一扇新窗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③有利于外籍人士认知中国的优秀传统文化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④是推动中华文化走向世界的重要载体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A．①②B．①③C．②④D．③④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．这个春天，主旋律剧《觉醒年代》火了！“青年如初春，如朝日，如百卉之萌动，如利刃之新发于硎，人生最可宝贵之时期也……惟属望于新鲜活泼之青年，有以自觉而奋斗耳！”人民间1号演播厅里，《觉醒年代》主创现场激情朗诵《新青年》的发刊词，仿佛将人带回到剧中那些热血沸腾的场景。《觉醒年代》的“火”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①根源于自古以来中华民族强烈的文化自信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②意味着主旋律作品实现了商业性与公益性的统一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③得益于题材的选择契合了当今时代的精神文化需求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④能够让人们感受到优秀文化的时代价值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A．①②B．①④C．②③D．③④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．2021年春节期间，H市开展“文明实践暖新春——知识礼包送万家”活动，将一批理论政策、科技科普、文学故事等类图书配送到从事不同行业的联系户家中，以此丰富群众的精神文化生活，让H市群众迎来一个重文化品位、讲文明新风的快乐年、幸福年、健康年。H市的这一做法给我们的启示有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①要积极引导传统文化顺应社会生活的变迁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②文化建设要坚持社会效益和经济效益相统一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③要推动社会主义物质文明和精神文明协调发展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④对落后传统文化要通过科学文化教育予以改造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A．①③B．①④C．②③D．②④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15．习近平在中央政治局集体学习时指出，讲好中国故事，传播好中国声音，展不真实、立体、全面的中国，是加强我国国际传播能力建设的重要任务。为此，我们要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①加强党对意识形态工作的领导，增强国际话语权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②在国际上主要宣传马克思主义的伟大真理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③强化理想信念教育，培育担当大任的时代新人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④用其他民族喜闻乐见的形式展示真实的中国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A．①③B．①④C．②③D．②④</w:t>
      </w:r>
    </w:p>
    <w:p>
      <w:pPr>
        <w:widowControl/>
        <w:spacing w:line="288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二、非选择题：本题共</w:t>
      </w:r>
      <w:r>
        <w:rPr>
          <w:rFonts w:ascii="宋体" w:hAnsi="宋体"/>
          <w:b/>
          <w:bCs/>
          <w:sz w:val="24"/>
        </w:rPr>
        <w:t>5小题，共55分。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16．阅读材料，完成下列要求。（10分）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李克强总理在2021年国务院《政府工作报告》中明确提出，要坚持扩大内需这个战略基点，充分挖掘国内市场潜力。促进消费与投资有效结合，实现供需更高水平动态平衡。而在提到扩大内需的具体举措时，报告进一步提到，要稳定和扩大消费，多渠道增加居民收入等。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要通过改变居民储蓄观念、推动假日经济、发放消费券等途径提高居民消费能力；要推动乡村振兴，打通农村消费堵点，释放农村消费活力，让农村居民愿消费、敢消费。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结合材料，运用影响消费的因素的有关知识，说明我国是如何扩大内需的。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17．阅读材料，完成下列要求。(lO分)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2021年3月20日，被誉为“20世纪人类最伟大的考古发现之一”的三星堆遗址再曝重大发现。大量形体高大、威严神圣、地域特色浓郁的精美青铜文物出土，再现了四川先民独特的生存意象与奇幻瑰丽的心灵世界，也展现出古蜀族非凡的艺术想象力与惊人的创造力。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2021年6月1日，三星堆博物馆全新推出以三星堆文物为原型的“三星堆盲盒”，融合了川蜀元素，如变脸、萘文化、蜀绣、长牌等，并进行了拟人化处理。“三星堆盲盒”既保留了三星堆文物的神秘特色，又与现代气息相结合，使文物更具生活色彩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结合材料，运用文化生活知识，分析“三星堆盲盒”的创作思路。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18．阅读材料，完成下列要求。(12分)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在中华传统文化的语境中，牛是无私奉献、开拓进取、吃苦耐劳的象征，寄寓着人们的美好期待。“孺子牛”“拓荒牛”“老黄牛”，是家喻户晓的美好形象，已沉淀为底蕴深厚的文化意象。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回望极不平凡的2020年，面对百年不遇的新冠肺炎疫情，中国率先控制疫情、率先复工复产、率先实现经济增长由负转正，成为垒球唯一实现经济正增长的主要经济体。一系列“惊天逆转”和“难以想象”，无不浸润着“给予人者多，取与人者寡”的奉献精神，焕发着“敢教荒原成沃野，誓将沙碛变新洲”的开拓豪情，闪耀着“老牛亦解韶光责，不待扬鞭自奋蹄”的勤劳品质，无不刻写下“孺子牛”“拓荒牛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“老黄牛”精神的鲜明印记，2020年12月31日，习近平在全国政协新年茶话套上强调，要发扬为民服务孺子牛、创新发展拓荒牛、艰苦奋斗老黄牛的精神，在全面建设社会主义现代化国家新征程上奋勇前进。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结合材料并运用文化的力量的知识，说明我们为什么要发扬“三牛精神”。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19．阅读材料，完成下列要求。（9分）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在庆祝中国共产党百年华诞之际，中共中央决定在全党集中开展党史学习教育。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欲知大道，必先为史。百年党史里，有信仰和意志，有目标和方向，有勇气和力量，有我们“从哪里来”的精神密码，有我们“走向何方”的精神路标，有共产竞人的精神血脉。历史是最好的教科书，常读常新；党史是最好的营养剂，让人受益匪浅。越是深八学习，就越能深刻认识红色政权来之不易、新中国来之不易、中国特色社会主义来之不易；越是触摸历史，就越能知道绝处逢生因为什么、革命胜利依靠什么、继续前进需要什么。从长征精神激励我们走好新时代的长征路，到西柏坡精神鼓舞党员干部谦虚谨慎、继续“赶考”，再到雷锋精神感召后人“做一颗永不生锈的螺丝钉”，我们对英雄的每一次凝望，都是一次初心的叩问；我们对历史的每一次回眸，都是一次思想的洗礼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学党史、感党恩，要从青少年抓起。结合材料并运用文化生活知识，说明加强党史学习教育对青少年筑牢理想信念之基的意义。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20．阅读材料，完成下列要求。(14分)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科学家钱学森曾说：“外国人能搞的，难道中国人就不能搞？难道我们中国人就比他们矮一截？”</w:t>
      </w:r>
    </w:p>
    <w:p>
      <w:pPr>
        <w:widowControl/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2021年6月2日，华为发布了鸿蒙操作系统。鸿蒙是基于分布式理念构建的面向未来、基于微内核的全场景分布式智能终端操作系统，与现有操作系统处于不同的“赛道”，是一种颠覆性创新，具有显著的特色和优势。十年磨一剑的鸪蒙，打破了微软、各歌和苹果公司的垄断，成为维护国家信息安全的利器，具有划时代的意义。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等线" w:hAnsi="等线" w:eastAsia="等线"/>
          <w:szCs w:val="22"/>
        </w:rPr>
        <w:drawing>
          <wp:inline distT="0" distB="0" distL="0" distR="0">
            <wp:extent cx="5928360" cy="267144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511" cy="267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(l)结合材料，分析鸿蒙操作系统成功发布的文化意义。（8分）</w:t>
      </w:r>
    </w:p>
    <w:p>
      <w:pPr>
        <w:widowControl/>
        <w:spacing w:line="288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(2)某数码博主在观看了华为鸿蒙操作系统发布会后，撰写了一条评论，“鸿蒙：新的时代机遇”。请你跟帖回复该评论。（6分）</w:t>
      </w:r>
    </w:p>
    <w:p>
      <w:pPr>
        <w:widowControl/>
        <w:spacing w:line="288" w:lineRule="auto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szCs w:val="21"/>
        </w:rPr>
        <w:t>要求：①围绕主题，内在逻辑一致；②论据充分；③学科语言使用规范；④字数在100个左右。</w:t>
      </w:r>
    </w:p>
    <w:p>
      <w:pPr>
        <w:widowControl/>
        <w:spacing w:line="288" w:lineRule="auto"/>
        <w:jc w:val="left"/>
        <w:rPr>
          <w:rFonts w:ascii="宋体" w:hAnsi="宋体"/>
          <w:b/>
          <w:bCs/>
          <w:szCs w:val="21"/>
        </w:rPr>
      </w:pPr>
    </w:p>
    <w:p>
      <w:pPr>
        <w:widowControl/>
        <w:spacing w:line="288" w:lineRule="auto"/>
        <w:jc w:val="left"/>
        <w:rPr>
          <w:rFonts w:ascii="宋体" w:hAnsi="宋体"/>
          <w:b/>
          <w:bCs/>
          <w:szCs w:val="21"/>
        </w:rPr>
      </w:pPr>
    </w:p>
    <w:p>
      <w:pPr>
        <w:spacing w:line="288" w:lineRule="auto"/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ascii="宋体" w:hAnsi="宋体"/>
          <w:b/>
          <w:bCs/>
          <w:sz w:val="32"/>
          <w:szCs w:val="36"/>
        </w:rPr>
        <w:t>2020~2021学年度石家庄市高二第二学期期末考试</w:t>
      </w:r>
    </w:p>
    <w:p>
      <w:pPr>
        <w:spacing w:line="288" w:lineRule="auto"/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ascii="宋体" w:hAnsi="宋体"/>
          <w:b/>
          <w:bCs/>
          <w:sz w:val="32"/>
          <w:szCs w:val="36"/>
        </w:rPr>
        <w:t>思想政治参考答案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1．B2．C3．D4．A5．B6．B7．C8．D9．A10．C11．A12．D13．D14．A15．B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16．(1)发展经济，增加居民收入，促进消费与投资的有效结合，推动我国经济的健康发展，振兴乡村经济，多渠道增加居民收入，为扩大内需打下坚实基础。（3分）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(2)提高居民的收入预期，创造居民敢于消费的氛围，不断扩大内需规模，更好地发挥消费的作用。（3分）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(3)促进社会公平，缩小收入差距，提高社会总体消费水平。加快新型城镇化步伐，缩小城乡差距，提高社会总体消费水平，挖掘内需潜力。（4分）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17．立足于三星堆考古的实践，以三星堆文物为原型，创作“三星堆盲盒”。（3分）继承传统，推陈出新。既保留三星堆文物的神秘特色，义与现代气息相结合。（3分）博采众长，兼收并蓄。融合了变脸、茶文化、蜀绣、长牌等川蜀元素。（4分）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18．文化作为一种精神力量，能够在人们认识世界和改造世界的过程巾转化为物质力量，对社会发展产生深刻的影响。（3分）“三牛精神”作为先进文化，蕴含着中华民族生生不息、长盛不衰的精神密码；（3分）可以增强民族凝聚力，激励人们攻坚克难、砥砺前行；创造更多的物质财富，推动我国经济社会发展。（3分）（考生如从“中华文化的力量”角度作答，言之有理可酌情给分）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19．人民有信仰，国家有希望，民族有力量。（2分）加强党史学习教育，利于青少年树立崇高理想，高举理想信念的旗帜，坚定共产主义远大理想和中国特色社会主共同理想；（2分）有利于深化中国特色社会主义和中国梦宣传教育，弘扬民族精神和时代精神，引导青少年树立正确的国家观、历史观、民族观；（3分）有利于青少年志存高远、脚踏实地，在实现</w:t>
      </w:r>
      <w:r>
        <w:rPr>
          <w:rFonts w:hint="eastAsia" w:ascii="宋体" w:hAnsi="宋体"/>
          <w:szCs w:val="22"/>
        </w:rPr>
        <w:t>中</w:t>
      </w:r>
      <w:r>
        <w:rPr>
          <w:rFonts w:ascii="宋体" w:hAnsi="宋体"/>
          <w:szCs w:val="22"/>
        </w:rPr>
        <w:t>国梦的生动实践中放飞青春梦想。（2分）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20．(1)推动信息技术与实体经济的深度融合，促进国民经济高质量发展；（2分）维护我国的网络安全；（2分）促进我国信息技术的发展；（2分）增强中华民族的文化自信。（2分）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(2)答案示例1：从企业角度回帖：企业要面向市场从事生产经营活动，鸿蒙操作系统打通了不同设备之间的联系，开启了互联网时代到物联网时代的转变之旅，为相关企业打开了更广阔的市场空间。（6分）</w:t>
      </w:r>
    </w:p>
    <w:p>
      <w:pPr>
        <w:spacing w:line="288" w:lineRule="auto"/>
        <w:jc w:val="left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答案示列2：从文化创新角度回帖：创新使文化富有生机与活力，促进了文化与经济的交融。鸿蒙的成功是科技创新的结果，为我国企业找到了文化与经济融合的新路径。（6分）（本问具有开放性，考生如从其他角度作答，言之有理可酌情给分）</w:t>
      </w:r>
    </w:p>
    <w:p>
      <w:pPr>
        <w:spacing w:line="288" w:lineRule="auto"/>
        <w:jc w:val="left"/>
      </w:pP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8" name="图片 10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图片 1000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556D3"/>
    <w:rsid w:val="000B7D91"/>
    <w:rsid w:val="000E4D02"/>
    <w:rsid w:val="000E4FF1"/>
    <w:rsid w:val="001177F3"/>
    <w:rsid w:val="00171458"/>
    <w:rsid w:val="00173C1D"/>
    <w:rsid w:val="001764C3"/>
    <w:rsid w:val="0018010E"/>
    <w:rsid w:val="00191C29"/>
    <w:rsid w:val="001A77CB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D44FD"/>
    <w:rsid w:val="00584281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27E4D"/>
    <w:rsid w:val="00740A09"/>
    <w:rsid w:val="00762E26"/>
    <w:rsid w:val="007A3CED"/>
    <w:rsid w:val="008028B5"/>
    <w:rsid w:val="00832EC9"/>
    <w:rsid w:val="008634CD"/>
    <w:rsid w:val="008731FA"/>
    <w:rsid w:val="00880A38"/>
    <w:rsid w:val="00893DD6"/>
    <w:rsid w:val="008D2E94"/>
    <w:rsid w:val="008E5F09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BD684A"/>
    <w:rsid w:val="00C02815"/>
    <w:rsid w:val="00C321EB"/>
    <w:rsid w:val="00CA4A07"/>
    <w:rsid w:val="00CC3B88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26721302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24"/>
    </w:rPr>
  </w:style>
  <w:style w:type="paragraph" w:customStyle="1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microsoft.com/office/2007/relationships/hdphoto" Target="media/hdphoto1.wd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0DD27-4B7E-4D27-9E40-2DDA14973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5716</Words>
  <Characters>5869</Characters>
  <Lines>42</Lines>
  <Paragraphs>12</Paragraphs>
  <ScaleCrop>false</ScaleCrop>
  <LinksUpToDate>false</LinksUpToDate>
  <CharactersWithSpaces>5885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2021-07-08T09:01:00Z</dcterms:created>
  <dc:creator>Administrator</dc:creator>
  <cp:lastModifiedBy>Administrator</cp:lastModifiedBy>
  <dcterms:modified xsi:type="dcterms:W3CDTF">2021-07-10T04:59:02Z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